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Aptos" w:hAnsi="Aptos"/>
          <w:b/>
          <w:color w:val="9E7722"/>
          <w:sz w:val="22"/>
        </w:rPr>
        <w:t>ROMEO &amp; PINKY</w:t>
      </w:r>
    </w:p>
    <w:p>
      <w:pPr>
        <w:pStyle w:val="Title"/>
        <w:jc w:val="center"/>
      </w:pPr>
      <w:r>
        <w:t>Relationship Conflict Record Protocol</w:t>
      </w:r>
    </w:p>
    <w:p>
      <w:pPr>
        <w:pStyle w:val="Subtitle"/>
        <w:jc w:val="center"/>
      </w:pPr>
      <w:r>
        <w:t>Word-for-word preservation of the protocol response for future conflict documentation</w:t>
      </w:r>
    </w:p>
    <w:tbl>
      <w:tblPr>
        <w:tblW w:type="auto" w:w="0"/>
        <w:jc w:val="center"/>
        <w:tblLayout w:type="fixed"/>
        <w:tblLook w:firstColumn="1" w:firstRow="1" w:lastColumn="0" w:lastRow="0" w:noHBand="0" w:noVBand="1" w:val="04A0"/>
      </w:tblPr>
      <w:tblGrid>
        <w:gridCol w:w="2520"/>
        <w:gridCol w:w="7776"/>
      </w:tblGrid>
      <w:tr>
        <w:tc>
          <w:tcPr>
            <w:tcW w:type="dxa" w:w="4997"/>
            <w:tcMar>
              <w:top w:w="100" w:type="dxa"/>
              <w:start w:w="120" w:type="dxa"/>
              <w:bottom w:w="100" w:type="dxa"/>
              <w:end w:w="120" w:type="dxa"/>
            </w:tcMar>
            <w:vAlign w:val="center"/>
            <w:shd w:fill="EAF0F6"/>
          </w:tcPr>
          <w:p>
            <w:r>
              <w:rPr>
                <w:b/>
                <w:color w:val="21334A"/>
                <w:sz w:val="19"/>
              </w:rPr>
              <w:t>Prepared for</w:t>
            </w:r>
          </w:p>
        </w:tc>
        <w:tc>
          <w:tcPr>
            <w:tcW w:type="dxa" w:w="4997"/>
            <w:tcMar>
              <w:top w:w="100" w:type="dxa"/>
              <w:start w:w="120" w:type="dxa"/>
              <w:bottom w:w="100" w:type="dxa"/>
              <w:end w:w="120" w:type="dxa"/>
            </w:tcMar>
            <w:vAlign w:val="center"/>
          </w:tcPr>
          <w:p>
            <w:r>
              <w:rPr>
                <w:sz w:val="19"/>
              </w:rPr>
              <w:t>Romeo Imbien Mesina</w:t>
            </w:r>
          </w:p>
        </w:tc>
      </w:tr>
      <w:tr>
        <w:tc>
          <w:tcPr>
            <w:tcW w:type="dxa" w:w="4997"/>
            <w:tcMar>
              <w:top w:w="100" w:type="dxa"/>
              <w:start w:w="120" w:type="dxa"/>
              <w:bottom w:w="100" w:type="dxa"/>
              <w:end w:w="120" w:type="dxa"/>
            </w:tcMar>
            <w:vAlign w:val="center"/>
            <w:shd w:fill="EAF0F6"/>
          </w:tcPr>
          <w:p>
            <w:r>
              <w:rPr>
                <w:b/>
                <w:color w:val="21334A"/>
                <w:sz w:val="19"/>
              </w:rPr>
              <w:t>Record period</w:t>
            </w:r>
          </w:p>
        </w:tc>
        <w:tc>
          <w:tcPr>
            <w:tcW w:type="dxa" w:w="4997"/>
            <w:tcMar>
              <w:top w:w="100" w:type="dxa"/>
              <w:start w:w="120" w:type="dxa"/>
              <w:bottom w:w="100" w:type="dxa"/>
              <w:end w:w="120" w:type="dxa"/>
            </w:tcMar>
            <w:vAlign w:val="center"/>
          </w:tcPr>
          <w:p>
            <w:r>
              <w:rPr>
                <w:sz w:val="19"/>
              </w:rPr>
              <w:t>Conflict beginning July 11-12, 2026; packet assembled July 12, 2026</w:t>
            </w:r>
          </w:p>
        </w:tc>
      </w:tr>
      <w:tr>
        <w:tc>
          <w:tcPr>
            <w:tcW w:type="dxa" w:w="4997"/>
            <w:tcMar>
              <w:top w:w="100" w:type="dxa"/>
              <w:start w:w="120" w:type="dxa"/>
              <w:bottom w:w="100" w:type="dxa"/>
              <w:end w:w="120" w:type="dxa"/>
            </w:tcMar>
            <w:vAlign w:val="center"/>
            <w:shd w:fill="EAF0F6"/>
          </w:tcPr>
          <w:p>
            <w:r>
              <w:rPr>
                <w:b/>
                <w:color w:val="21334A"/>
                <w:sz w:val="19"/>
              </w:rPr>
              <w:t>Created</w:t>
            </w:r>
          </w:p>
        </w:tc>
        <w:tc>
          <w:tcPr>
            <w:tcW w:type="dxa" w:w="4997"/>
            <w:tcMar>
              <w:top w:w="100" w:type="dxa"/>
              <w:start w:w="120" w:type="dxa"/>
              <w:bottom w:w="100" w:type="dxa"/>
              <w:end w:w="120" w:type="dxa"/>
            </w:tcMar>
            <w:vAlign w:val="center"/>
          </w:tcPr>
          <w:p>
            <w:r>
              <w:rPr>
                <w:sz w:val="19"/>
              </w:rPr>
              <w:t>Sunday, July 12, 2026 at 1:12 PM EDT / Monday, July 13, 2026 at 1:12 AM PHT</w:t>
            </w:r>
          </w:p>
        </w:tc>
      </w:tr>
      <w:tr>
        <w:tc>
          <w:tcPr>
            <w:tcW w:type="dxa" w:w="4997"/>
            <w:tcMar>
              <w:top w:w="100" w:type="dxa"/>
              <w:start w:w="120" w:type="dxa"/>
              <w:bottom w:w="100" w:type="dxa"/>
              <w:end w:w="120" w:type="dxa"/>
            </w:tcMar>
            <w:vAlign w:val="center"/>
            <w:shd w:fill="EAF0F6"/>
          </w:tcPr>
          <w:p>
            <w:r>
              <w:rPr>
                <w:b/>
                <w:color w:val="21334A"/>
                <w:sz w:val="19"/>
              </w:rPr>
              <w:t>Classification</w:t>
            </w:r>
          </w:p>
        </w:tc>
        <w:tc>
          <w:tcPr>
            <w:tcW w:type="dxa" w:w="4997"/>
            <w:tcMar>
              <w:top w:w="100" w:type="dxa"/>
              <w:start w:w="120" w:type="dxa"/>
              <w:bottom w:w="100" w:type="dxa"/>
              <w:end w:w="120" w:type="dxa"/>
            </w:tcMar>
            <w:vAlign w:val="center"/>
          </w:tcPr>
          <w:p>
            <w:r>
              <w:rPr>
                <w:sz w:val="19"/>
              </w:rPr>
              <w:t>Private process and documentation standard</w:t>
            </w:r>
          </w:p>
        </w:tc>
      </w:tr>
    </w:tbl>
    <w:p/>
    <w:tbl>
      <w:tblPr>
        <w:tblW w:type="auto" w:w="0"/>
        <w:jc w:val="center"/>
        <w:tblLook w:firstColumn="1" w:firstRow="1" w:lastColumn="0" w:lastRow="0" w:noHBand="0" w:noVBand="1" w:val="04A0"/>
      </w:tblPr>
      <w:tblGrid>
        <w:gridCol w:w="9994"/>
      </w:tblGrid>
      <w:tr>
        <w:tc>
          <w:tcPr>
            <w:tcW w:type="dxa" w:w="9994"/>
            <w:shd w:fill="F7F1E2"/>
            <w:tcMar>
              <w:top w:w="160" w:type="dxa"/>
              <w:start w:w="220" w:type="dxa"/>
              <w:bottom w:w="160" w:type="dxa"/>
              <w:end w:w="220" w:type="dxa"/>
            </w:tcMar>
          </w:tcPr>
          <w:p>
            <w:pPr>
              <w:jc w:val="center"/>
            </w:pPr>
            <w:r>
              <w:rPr>
                <w:b/>
                <w:color w:val="21334A"/>
                <w:sz w:val="21"/>
              </w:rPr>
              <w:t>Purpose: prevention, truthful disclosure, child safety, accurate professional assessment, and early intervention - not punishment, retaliation, or leverage against either partner.</w:t>
            </w:r>
          </w:p>
        </w:tc>
      </w:tr>
    </w:tbl>
    <w:p>
      <w:r>
        <w:br w:type="page"/>
      </w:r>
    </w:p>
    <w:p>
      <w:pPr>
        <w:pStyle w:val="Heading1"/>
      </w:pPr>
      <w:r>
        <w:t>Document purpose</w:t>
      </w:r>
    </w:p>
    <w:p>
      <w:r>
        <w:t>This document preserves the complete wording of the Relationship Conflict Record Protocol response exactly as delivered in the ChatGPT conversation. Markdown formatting markers have been represented as Word formatting where possible; the substantive wording, sequence, headings, bullets, punctuation, and emoji are preserved.</w:t>
      </w:r>
    </w:p>
    <w:p>
      <w:pPr>
        <w:pStyle w:val="Heading1"/>
      </w:pPr>
      <w:r>
        <w:t>Source and creation record</w:t>
      </w:r>
    </w:p>
    <w:tbl>
      <w:tblPr>
        <w:tblStyle w:val="TableGrid"/>
        <w:tblW w:type="auto" w:w="0"/>
        <w:jc w:val="center"/>
        <w:tblLook w:firstColumn="1" w:firstRow="1" w:lastColumn="0" w:lastRow="0" w:noHBand="0" w:noVBand="1" w:val="04A0"/>
      </w:tblPr>
      <w:tblGrid>
        <w:gridCol w:w="4997"/>
        <w:gridCol w:w="4997"/>
      </w:tblGrid>
      <w:tr>
        <w:tc>
          <w:tcPr>
            <w:tcW w:type="dxa" w:w="4997"/>
            <w:shd w:fill="EAF0F6"/>
            <w:tcMar>
              <w:top w:w="100" w:type="dxa"/>
              <w:start w:w="120" w:type="dxa"/>
              <w:bottom w:w="100" w:type="dxa"/>
              <w:end w:w="120" w:type="dxa"/>
            </w:tcMar>
          </w:tcPr>
          <w:p>
            <w:r>
              <w:rPr>
                <w:b/>
                <w:color w:val="21334A"/>
                <w:sz w:val="18"/>
              </w:rPr>
              <w:t>Source</w:t>
            </w:r>
          </w:p>
        </w:tc>
        <w:tc>
          <w:tcPr>
            <w:tcW w:type="dxa" w:w="4997"/>
            <w:tcMar>
              <w:top w:w="100" w:type="dxa"/>
              <w:start w:w="120" w:type="dxa"/>
              <w:bottom w:w="100" w:type="dxa"/>
              <w:end w:w="120" w:type="dxa"/>
            </w:tcMar>
          </w:tcPr>
          <w:p>
            <w:r>
              <w:rPr>
                <w:sz w:val="18"/>
              </w:rPr>
              <w:t>ChatGPT response in Romeo's July 12, 2026 relationship-conflict documentation conversation</w:t>
            </w:r>
          </w:p>
        </w:tc>
      </w:tr>
      <w:tr>
        <w:tc>
          <w:tcPr>
            <w:tcW w:type="dxa" w:w="4997"/>
            <w:shd w:fill="EAF0F6"/>
            <w:tcMar>
              <w:top w:w="100" w:type="dxa"/>
              <w:start w:w="120" w:type="dxa"/>
              <w:bottom w:w="100" w:type="dxa"/>
              <w:end w:w="120" w:type="dxa"/>
            </w:tcMar>
          </w:tcPr>
          <w:p>
            <w:r>
              <w:rPr>
                <w:b/>
                <w:color w:val="21334A"/>
                <w:sz w:val="18"/>
              </w:rPr>
              <w:t>Authoring method</w:t>
            </w:r>
          </w:p>
        </w:tc>
        <w:tc>
          <w:tcPr>
            <w:tcW w:type="dxa" w:w="4997"/>
            <w:tcMar>
              <w:top w:w="100" w:type="dxa"/>
              <w:start w:w="120" w:type="dxa"/>
              <w:bottom w:w="100" w:type="dxa"/>
              <w:end w:w="120" w:type="dxa"/>
            </w:tcMar>
          </w:tcPr>
          <w:p>
            <w:r>
              <w:rPr>
                <w:sz w:val="18"/>
              </w:rPr>
              <w:t>Response written by ChatGPT based on Romeo's stated instructions and prior documentation workflow</w:t>
            </w:r>
          </w:p>
        </w:tc>
      </w:tr>
      <w:tr>
        <w:tc>
          <w:tcPr>
            <w:tcW w:type="dxa" w:w="4997"/>
            <w:shd w:fill="EAF0F6"/>
            <w:tcMar>
              <w:top w:w="100" w:type="dxa"/>
              <w:start w:w="120" w:type="dxa"/>
              <w:bottom w:w="100" w:type="dxa"/>
              <w:end w:w="120" w:type="dxa"/>
            </w:tcMar>
          </w:tcPr>
          <w:p>
            <w:r>
              <w:rPr>
                <w:b/>
                <w:color w:val="21334A"/>
                <w:sz w:val="18"/>
              </w:rPr>
              <w:t>Preservation method</w:t>
            </w:r>
          </w:p>
        </w:tc>
        <w:tc>
          <w:tcPr>
            <w:tcW w:type="dxa" w:w="4997"/>
            <w:tcMar>
              <w:top w:w="100" w:type="dxa"/>
              <w:start w:w="120" w:type="dxa"/>
              <w:bottom w:w="100" w:type="dxa"/>
              <w:end w:w="120" w:type="dxa"/>
            </w:tcMar>
          </w:tcPr>
          <w:p>
            <w:r>
              <w:rPr>
                <w:sz w:val="18"/>
              </w:rPr>
              <w:t>Copied into this Word document as a verbatim protocol record; visual Markdown converted to Word headings, bullets, and bold text</w:t>
            </w:r>
          </w:p>
        </w:tc>
      </w:tr>
      <w:tr>
        <w:tc>
          <w:tcPr>
            <w:tcW w:type="dxa" w:w="4997"/>
            <w:shd w:fill="EAF0F6"/>
            <w:tcMar>
              <w:top w:w="100" w:type="dxa"/>
              <w:start w:w="120" w:type="dxa"/>
              <w:bottom w:w="100" w:type="dxa"/>
              <w:end w:w="120" w:type="dxa"/>
            </w:tcMar>
          </w:tcPr>
          <w:p>
            <w:r>
              <w:rPr>
                <w:b/>
                <w:color w:val="21334A"/>
                <w:sz w:val="18"/>
              </w:rPr>
              <w:t>Created</w:t>
            </w:r>
          </w:p>
        </w:tc>
        <w:tc>
          <w:tcPr>
            <w:tcW w:type="dxa" w:w="4997"/>
            <w:tcMar>
              <w:top w:w="100" w:type="dxa"/>
              <w:start w:w="120" w:type="dxa"/>
              <w:bottom w:w="100" w:type="dxa"/>
              <w:end w:w="120" w:type="dxa"/>
            </w:tcMar>
          </w:tcPr>
          <w:p>
            <w:r>
              <w:rPr>
                <w:sz w:val="18"/>
              </w:rPr>
              <w:t>Sunday, July 12, 2026 at 1:12 PM EDT / Monday, July 13, 2026 at 1:12 AM PHT</w:t>
            </w:r>
          </w:p>
        </w:tc>
      </w:tr>
    </w:tbl>
    <w:p>
      <w:pPr>
        <w:pStyle w:val="Heading1"/>
      </w:pPr>
      <w:r>
        <w:t>Word-for-word protocol response</w:t>
      </w:r>
    </w:p>
    <w:p>
      <w:pPr>
        <w:pStyle w:val="VerbatimBody"/>
      </w:pPr>
      <w:r>
        <w:t xml:space="preserve">Yes, Romeo. I’ll treat this as the standing </w:t>
      </w:r>
      <w:r>
        <w:rPr>
          <w:b/>
        </w:rPr>
        <w:t>Relationship Conflict Record Protocol</w:t>
      </w:r>
      <w:r>
        <w:t xml:space="preserve"> for future documentation.</w:t>
      </w:r>
    </w:p>
    <w:p/>
    <w:p>
      <w:pPr>
        <w:pStyle w:val="VerbatimBody"/>
      </w:pPr>
      <w:r>
        <w:t>The process will be:</w:t>
      </w:r>
    </w:p>
    <w:p/>
    <w:p>
      <w:pPr>
        <w:pStyle w:val="Heading1"/>
      </w:pPr>
      <w:r>
        <w:t>1. Preserve the original record</w:t>
      </w:r>
    </w:p>
    <w:p/>
    <w:p>
      <w:pPr>
        <w:pStyle w:val="VerbatimBody"/>
      </w:pPr>
      <w:r>
        <w:t>The original audio, filenames, dates, transcription fragments, screenshots, and source messages remain unchanged. The original recording is always treated as the primary source.</w:t>
      </w:r>
    </w:p>
    <w:p/>
    <w:p>
      <w:pPr>
        <w:pStyle w:val="Heading1"/>
      </w:pPr>
      <w:r>
        <w:t>2. Reconstruct the conversation</w:t>
      </w:r>
    </w:p>
    <w:p/>
    <w:p>
      <w:pPr>
        <w:pStyle w:val="VerbatimBody"/>
      </w:pPr>
      <w:r>
        <w:t>I will:</w:t>
      </w:r>
    </w:p>
    <w:p/>
    <w:p>
      <w:pPr>
        <w:pStyle w:val="ListBullet"/>
      </w:pPr>
      <w:r>
        <w:t xml:space="preserve">Identify and label </w:t>
      </w:r>
      <w:r>
        <w:rPr>
          <w:b/>
        </w:rPr>
        <w:t>Romeo</w:t>
      </w:r>
      <w:r>
        <w:t xml:space="preserve"> and </w:t>
      </w:r>
      <w:r>
        <w:rPr>
          <w:b/>
        </w:rPr>
        <w:t>Pinky</w:t>
      </w:r>
      <w:r>
        <w:t xml:space="preserve"> from the conversation context.</w:t>
      </w:r>
    </w:p>
    <w:p>
      <w:pPr>
        <w:pStyle w:val="ListBullet"/>
      </w:pPr>
      <w:r>
        <w:t>Separate merged speech-to-text passages into individual speaking turns.</w:t>
      </w:r>
    </w:p>
    <w:p>
      <w:pPr>
        <w:pStyle w:val="ListBullet"/>
      </w:pPr>
      <w:r>
        <w:t>Preserve the original Tagalog, English, repetitions, profanity, incomplete wording, and transcription errors.</w:t>
      </w:r>
    </w:p>
    <w:p>
      <w:pPr>
        <w:pStyle w:val="ListBullet"/>
      </w:pPr>
      <w:r>
        <w:t>Mark uncertain identifications rather than pretending certainty.</w:t>
      </w:r>
    </w:p>
    <w:p>
      <w:pPr>
        <w:pStyle w:val="ListBullet"/>
      </w:pPr>
      <w:r>
        <w:t>Keep your messages to me and my responses unchanged unless you specifically request otherwise.</w:t>
      </w:r>
    </w:p>
    <w:p>
      <w:pPr>
        <w:pStyle w:val="ListBullet"/>
      </w:pPr>
      <w:r>
        <w:t>Avoid analysis during the reconstruction stage.</w:t>
      </w:r>
    </w:p>
    <w:p/>
    <w:p>
      <w:pPr>
        <w:pStyle w:val="Heading1"/>
      </w:pPr>
      <w:r>
        <w:t>3. Create the conflict timeline</w:t>
      </w:r>
    </w:p>
    <w:p/>
    <w:p>
      <w:pPr>
        <w:pStyle w:val="VerbatimBody"/>
      </w:pPr>
      <w:r>
        <w:t>I will document:</w:t>
      </w:r>
    </w:p>
    <w:p/>
    <w:p>
      <w:pPr>
        <w:pStyle w:val="ListBullet"/>
      </w:pPr>
      <w:r>
        <w:t>What happened before the conflict.</w:t>
      </w:r>
    </w:p>
    <w:p>
      <w:pPr>
        <w:pStyle w:val="ListBullet"/>
      </w:pPr>
      <w:r>
        <w:t>How the conversation began.</w:t>
      </w:r>
    </w:p>
    <w:p>
      <w:pPr>
        <w:pStyle w:val="ListBullet"/>
      </w:pPr>
      <w:r>
        <w:t>The original question or trigger.</w:t>
      </w:r>
    </w:p>
    <w:p>
      <w:pPr>
        <w:pStyle w:val="ListBullet"/>
      </w:pPr>
      <w:r>
        <w:t>Important turning points.</w:t>
      </w:r>
    </w:p>
    <w:p>
      <w:pPr>
        <w:pStyle w:val="ListBullet"/>
      </w:pPr>
      <w:r>
        <w:t>Call interruptions, reconnections, apologies, and resolution.</w:t>
      </w:r>
    </w:p>
    <w:p>
      <w:pPr>
        <w:pStyle w:val="ListBullet"/>
      </w:pPr>
      <w:r>
        <w:t>Exact timestamps where available.</w:t>
      </w:r>
    </w:p>
    <w:p>
      <w:pPr>
        <w:pStyle w:val="ListBullet"/>
      </w:pPr>
      <w:r>
        <w:t>Clearly labeled approximate times where exact timestamps are unavailable.</w:t>
      </w:r>
    </w:p>
    <w:p>
      <w:pPr>
        <w:pStyle w:val="ListBullet"/>
      </w:pPr>
      <w:r>
        <w:t>Eastern Time and Philippine Time when relevant.</w:t>
      </w:r>
    </w:p>
    <w:p/>
    <w:p>
      <w:pPr>
        <w:pStyle w:val="Heading1"/>
      </w:pPr>
      <w:r>
        <w:t>4. Conduct the full conflict analysis</w:t>
      </w:r>
    </w:p>
    <w:p/>
    <w:p>
      <w:pPr>
        <w:pStyle w:val="VerbatimBody"/>
      </w:pPr>
      <w:r>
        <w:t>The analysis will address the questions you established:</w:t>
      </w:r>
    </w:p>
    <w:p/>
    <w:p>
      <w:pPr>
        <w:pStyle w:val="ListBullet"/>
      </w:pPr>
      <w:r>
        <w:t>What went wrong?</w:t>
      </w:r>
    </w:p>
    <w:p>
      <w:pPr>
        <w:pStyle w:val="ListBullet"/>
      </w:pPr>
      <w:r>
        <w:t>What went right?</w:t>
      </w:r>
    </w:p>
    <w:p>
      <w:pPr>
        <w:pStyle w:val="ListBullet"/>
      </w:pPr>
      <w:r>
        <w:t>Who was wrong, and in what specific moments?</w:t>
      </w:r>
    </w:p>
    <w:p>
      <w:pPr>
        <w:pStyle w:val="ListBullet"/>
      </w:pPr>
      <w:r>
        <w:t>Who was right, and why?</w:t>
      </w:r>
    </w:p>
    <w:p>
      <w:pPr>
        <w:pStyle w:val="ListBullet"/>
      </w:pPr>
      <w:r>
        <w:t>What caused the conflict?</w:t>
      </w:r>
    </w:p>
    <w:p>
      <w:pPr>
        <w:pStyle w:val="ListBullet"/>
      </w:pPr>
      <w:r>
        <w:t>What older wounds or patterns were activated?</w:t>
      </w:r>
    </w:p>
    <w:p>
      <w:pPr>
        <w:pStyle w:val="ListBullet"/>
      </w:pPr>
      <w:r>
        <w:t>What should Romeo have said differently?</w:t>
      </w:r>
    </w:p>
    <w:p>
      <w:pPr>
        <w:pStyle w:val="ListBullet"/>
      </w:pPr>
      <w:r>
        <w:t>What should Pinky have said differently?</w:t>
      </w:r>
    </w:p>
    <w:p>
      <w:pPr>
        <w:pStyle w:val="ListBullet"/>
      </w:pPr>
      <w:r>
        <w:t>How should each person have reacted?</w:t>
      </w:r>
    </w:p>
    <w:p>
      <w:pPr>
        <w:pStyle w:val="ListBullet"/>
      </w:pPr>
      <w:r>
        <w:t>When should Romeo have spoken, stopped, or remained silent?</w:t>
      </w:r>
    </w:p>
    <w:p>
      <w:pPr>
        <w:pStyle w:val="ListBullet"/>
      </w:pPr>
      <w:r>
        <w:t>Did either person escalate, dismiss, manipulate, pressure, or misunderstand the other?</w:t>
      </w:r>
    </w:p>
    <w:p>
      <w:pPr>
        <w:pStyle w:val="ListBullet"/>
      </w:pPr>
      <w:r>
        <w:t>Was the conflict caused by the present issue or by an older wound?</w:t>
      </w:r>
    </w:p>
    <w:p>
      <w:pPr>
        <w:pStyle w:val="ListBullet"/>
      </w:pPr>
      <w:r>
        <w:t>What behavior threatens the relationship?</w:t>
      </w:r>
    </w:p>
    <w:p>
      <w:pPr>
        <w:pStyle w:val="ListBullet"/>
      </w:pPr>
      <w:r>
        <w:t>What will likely happen if the pattern continues?</w:t>
      </w:r>
    </w:p>
    <w:p>
      <w:pPr>
        <w:pStyle w:val="ListBullet"/>
      </w:pPr>
      <w:r>
        <w:t>What could happen if both people correct themselves?</w:t>
      </w:r>
    </w:p>
    <w:p>
      <w:pPr>
        <w:pStyle w:val="ListBullet"/>
      </w:pPr>
      <w:r>
        <w:t>What boundaries, communication rules, or safety measures are needed?</w:t>
      </w:r>
    </w:p>
    <w:p/>
    <w:p>
      <w:pPr>
        <w:pStyle w:val="VerbatimBody"/>
      </w:pPr>
      <w:r>
        <w:t xml:space="preserve">The analysis will not begin with the assumption that either person is innocent or guilty. It will distinguish </w:t>
      </w:r>
      <w:r>
        <w:rPr>
          <w:b/>
        </w:rPr>
        <w:t>intention, impact, responsibility, escalation, and repair</w:t>
      </w:r>
      <w:r>
        <w:t>.</w:t>
      </w:r>
    </w:p>
    <w:p/>
    <w:p>
      <w:pPr>
        <w:pStyle w:val="Heading1"/>
      </w:pPr>
      <w:r>
        <w:t>5. Prepare professional-help documentation</w:t>
      </w:r>
    </w:p>
    <w:p/>
    <w:p>
      <w:pPr>
        <w:pStyle w:val="VerbatimBody"/>
      </w:pPr>
      <w:r>
        <w:t>When requested, I will create a neutral presentation packet explaining:</w:t>
      </w:r>
    </w:p>
    <w:p/>
    <w:p>
      <w:pPr>
        <w:pStyle w:val="ListBullet"/>
      </w:pPr>
      <w:r>
        <w:t>Romeo is seeking prevention, safety, understanding, and professional guidance—not ammunition against Pinky.</w:t>
      </w:r>
    </w:p>
    <w:p>
      <w:pPr>
        <w:pStyle w:val="ListBullet"/>
      </w:pPr>
      <w:r>
        <w:t>Romeo communicates more accurately in writing than during emotionally stressful appointments.</w:t>
      </w:r>
    </w:p>
    <w:p>
      <w:pPr>
        <w:pStyle w:val="ListBullet"/>
      </w:pPr>
      <w:r>
        <w:t>The relationship history and recurring conflict pattern.</w:t>
      </w:r>
    </w:p>
    <w:p>
      <w:pPr>
        <w:pStyle w:val="ListBullet"/>
      </w:pPr>
      <w:r>
        <w:t>Romeo’s behavior, mistakes, triggers, and risks.</w:t>
      </w:r>
    </w:p>
    <w:p>
      <w:pPr>
        <w:pStyle w:val="ListBullet"/>
      </w:pPr>
      <w:r>
        <w:t>Pinky’s behavior, wounds, concerning statements, and risks.</w:t>
      </w:r>
    </w:p>
    <w:p>
      <w:pPr>
        <w:pStyle w:val="ListBullet"/>
      </w:pPr>
      <w:r>
        <w:t>Possible danger involving self-harm, physical confrontation, or the children.</w:t>
      </w:r>
    </w:p>
    <w:p>
      <w:pPr>
        <w:pStyle w:val="ListBullet"/>
      </w:pPr>
      <w:r>
        <w:t>What help is being requested: individual therapy, safety planning, conflict regulation, financial communication, relationship boundaries, and an assessment of whether joint counseling is appropriate.</w:t>
      </w:r>
    </w:p>
    <w:p>
      <w:pPr>
        <w:pStyle w:val="ListBullet"/>
      </w:pPr>
      <w:r>
        <w:t>Questions for the professional rather than predetermined conclusions.</w:t>
      </w:r>
    </w:p>
    <w:p/>
    <w:p>
      <w:pPr>
        <w:pStyle w:val="Heading1"/>
      </w:pPr>
      <w:r>
        <w:t>6. Explain how the documents were created</w:t>
      </w:r>
    </w:p>
    <w:p/>
    <w:p>
      <w:pPr>
        <w:pStyle w:val="VerbatimBody"/>
      </w:pPr>
      <w:r>
        <w:t>Every professional packet will transparently state:</w:t>
      </w:r>
    </w:p>
    <w:p/>
    <w:p>
      <w:pPr>
        <w:pStyle w:val="ListBullet"/>
      </w:pPr>
      <w:r>
        <w:t>Romeo personally recorded the original conversation.</w:t>
      </w:r>
    </w:p>
    <w:p>
      <w:pPr>
        <w:pStyle w:val="ListBullet"/>
      </w:pPr>
      <w:r>
        <w:t>Automatic speech-to-text created fragmented transcript sections.</w:t>
      </w:r>
    </w:p>
    <w:p>
      <w:pPr>
        <w:pStyle w:val="ListBullet"/>
      </w:pPr>
      <w:r>
        <w:t>Romeo supplied those fragments to ChatGPT.</w:t>
      </w:r>
    </w:p>
    <w:p>
      <w:pPr>
        <w:pStyle w:val="ListBullet"/>
      </w:pPr>
      <w:r>
        <w:t>ChatGPT assisted with organization, speaker identification, reconstruction, summaries, and analysis.</w:t>
      </w:r>
    </w:p>
    <w:p>
      <w:pPr>
        <w:pStyle w:val="ListBullet"/>
      </w:pPr>
      <w:r>
        <w:t>The reconstructed transcript is AI-assisted and is not a certified forensic transcript.</w:t>
      </w:r>
    </w:p>
    <w:p>
      <w:pPr>
        <w:pStyle w:val="ListBullet"/>
      </w:pPr>
      <w:r>
        <w:t>ChatGPT is not an independent witness, therapist, investigator, or legal authority.</w:t>
      </w:r>
    </w:p>
    <w:p>
      <w:pPr>
        <w:pStyle w:val="ListBullet"/>
      </w:pPr>
      <w:r>
        <w:t>The original audio remains the primary source.</w:t>
      </w:r>
    </w:p>
    <w:p>
      <w:pPr>
        <w:pStyle w:val="ListBullet"/>
      </w:pPr>
      <w:r>
        <w:t>Romeo should review the reconstruction against the original recording and document any corrections.</w:t>
      </w:r>
    </w:p>
    <w:p/>
    <w:p>
      <w:pPr>
        <w:pStyle w:val="Heading1"/>
      </w:pPr>
      <w:r>
        <w:t>7. Preserve the safety purpose</w:t>
      </w:r>
    </w:p>
    <w:p/>
    <w:p>
      <w:pPr>
        <w:pStyle w:val="VerbatimBody"/>
      </w:pPr>
      <w:r>
        <w:t>The record will state that its purpose is to:</w:t>
      </w:r>
    </w:p>
    <w:p/>
    <w:p>
      <w:pPr>
        <w:pStyle w:val="ListBullet"/>
      </w:pPr>
      <w:r>
        <w:t>Prevent future harm.</w:t>
      </w:r>
    </w:p>
    <w:p>
      <w:pPr>
        <w:pStyle w:val="ListBullet"/>
      </w:pPr>
      <w:r>
        <w:t>Help professionals understand the situation accurately.</w:t>
      </w:r>
    </w:p>
    <w:p>
      <w:pPr>
        <w:pStyle w:val="ListBullet"/>
      </w:pPr>
      <w:r>
        <w:t>Preserve both people’s statements and context.</w:t>
      </w:r>
    </w:p>
    <w:p>
      <w:pPr>
        <w:pStyle w:val="ListBullet"/>
      </w:pPr>
      <w:r>
        <w:t>Protect the children.</w:t>
      </w:r>
    </w:p>
    <w:p>
      <w:pPr>
        <w:pStyle w:val="ListBullet"/>
      </w:pPr>
      <w:r>
        <w:t>Prevent a one-sided history from replacing the complete truth.</w:t>
      </w:r>
    </w:p>
    <w:p>
      <w:pPr>
        <w:pStyle w:val="ListBullet"/>
      </w:pPr>
      <w:r>
        <w:t>Support therapeutic, safety, legal, or investigative review when genuinely necessary.</w:t>
      </w:r>
    </w:p>
    <w:p>
      <w:pPr>
        <w:pStyle w:val="ListBullet"/>
      </w:pPr>
      <w:r>
        <w:t>Never pressure the children to judge or choose between their parents.</w:t>
      </w:r>
    </w:p>
    <w:p/>
    <w:p>
      <w:pPr>
        <w:pStyle w:val="VerbatimBody"/>
      </w:pPr>
      <w:r>
        <w:t>For future conflicts, you can simply tell me:</w:t>
      </w:r>
    </w:p>
    <w:p/>
    <w:p>
      <w:pPr>
        <w:pStyle w:val="VerbatimBody"/>
      </w:pPr>
      <w:r/>
      <w:r>
        <w:rPr>
          <w:b/>
        </w:rPr>
        <w:t>Use the Relationship Conflict Record Protocol.</w:t>
      </w:r>
      <w:r/>
    </w:p>
    <w:p/>
    <w:p>
      <w:pPr>
        <w:pStyle w:val="VerbatimBody"/>
      </w:pPr>
      <w:r>
        <w:t>I will know that means: preserve, reconstruct, label, timestamp, analyze, document the source, and prepare the professional-help material without turning the record into a weapon. 🛡️</w:t>
      </w:r>
    </w:p>
    <w:p/>
    <w:tbl>
      <w:tblPr>
        <w:tblW w:type="auto" w:w="0"/>
        <w:tblLook w:firstColumn="1" w:firstRow="1" w:lastColumn="0" w:lastRow="0" w:noHBand="0" w:noVBand="1" w:val="04A0"/>
      </w:tblPr>
      <w:tblGrid>
        <w:gridCol w:w="9994"/>
      </w:tblGrid>
      <w:tr>
        <w:tc>
          <w:tcPr>
            <w:tcW w:type="dxa" w:w="9994"/>
            <w:shd w:fill="F7F1E2"/>
            <w:tcMar>
              <w:top w:w="150" w:type="dxa"/>
              <w:start w:w="180" w:type="dxa"/>
              <w:bottom w:w="150" w:type="dxa"/>
              <w:end w:w="180" w:type="dxa"/>
            </w:tcMar>
          </w:tcPr>
          <w:p>
            <w:pPr>
              <w:jc w:val="center"/>
            </w:pPr>
            <w:r>
              <w:rPr>
                <w:b/>
                <w:color w:val="21334A"/>
              </w:rPr>
              <w:t>End of word-for-word protocol response.</w:t>
            </w:r>
          </w:p>
        </w:tc>
      </w:tr>
    </w:tbl>
    <w:sectPr w:rsidR="00FC693F" w:rsidRPr="0006063C" w:rsidSect="00034616">
      <w:headerReference w:type="default" r:id="rId9"/>
      <w:footerReference w:type="default" r:id="rId10"/>
      <w:pgSz w:w="12240" w:h="15840"/>
      <w:pgMar w:top="1008" w:right="1123" w:bottom="1008"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C5763"/>
        <w:sz w:val="16"/>
      </w:rPr>
      <w:t xml:space="preserve">Romeo &amp; Pinky | Private | Page </w:t>
    </w:r>
    <w:r>
      <w:fldChar w:fldCharType="begin"/>
      <w:instrText xml:space="preserve"> PAGE </w:instrText>
      <w:fldChar w:fldCharType="end"/>
    </w:r>
    <w:r>
      <w:rPr>
        <w:rFonts w:ascii="Aptos" w:hAnsi="Aptos"/>
        <w:color w:val="4C5763"/>
        <w:sz w:val="16"/>
      </w:rP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4C5763"/>
        <w:sz w:val="16"/>
      </w:rPr>
      <w:t>PRIVATE PROFESSIONAL-HELP RECORD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24272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21334A"/>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21334A"/>
      <w:sz w:val="25"/>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9E77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ascii="Aptos Display" w:hAnsi="Aptos Display"/>
      <w:b/>
      <w:color w:val="21334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80"/>
    </w:pPr>
    <w:rPr>
      <w:rFonts w:asciiTheme="majorHAnsi" w:eastAsiaTheme="majorEastAsia" w:hAnsiTheme="majorHAnsi" w:cstheme="majorBidi" w:ascii="Aptos" w:hAnsi="Aptos"/>
      <w:i/>
      <w:iCs/>
      <w:color w:val="4C576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40"/>
      <w:ind w:left="360" w:right="360"/>
    </w:pPr>
    <w:rPr>
      <w:rFonts w:ascii="Aptos" w:hAnsi="Aptos"/>
      <w:i/>
      <w:color w:val="21334A"/>
      <w:sz w:val="21"/>
    </w:rPr>
  </w:style>
  <w:style w:type="paragraph" w:customStyle="1" w:styleId="VerbatimBody">
    <w:name w:val="Verbatim Body"/>
    <w:pPr>
      <w:spacing w:after="120" w:line="259" w:lineRule="auto"/>
    </w:pPr>
    <w:rPr>
      <w:rFonts w:ascii="Aptos" w:hAnsi="Aptos"/>
      <w:color w:val="1E2125"/>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Relationship Conflict Record Protocol - Verbatim Record</dc:title>
  <dc:subject>Word-for-word preservation of the standing Relationship Conflict Record Protocol</dc:subject>
  <dc:creator>Romeo Imbien Mesina, with AI-assisted document organization</dc:creator>
  <cp:keywords/>
  <dc:description>Private relationship and safety documentation. Not a certified forensic transcript or professional diagnosis.</dc:description>
  <cp:lastModifiedBy/>
  <cp:revision>1</cp:revision>
  <dcterms:created xsi:type="dcterms:W3CDTF">2013-12-23T23:15:00Z</dcterms:created>
  <dcterms:modified xsi:type="dcterms:W3CDTF">2013-12-23T23:15:00Z</dcterms:modified>
  <cp:category/>
</cp:coreProperties>
</file>