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Aptos" w:hAnsi="Aptos"/>
          <w:b/>
          <w:color w:val="9E7722"/>
          <w:sz w:val="22"/>
        </w:rPr>
        <w:t>ROMEO &amp; PINKY</w:t>
      </w:r>
    </w:p>
    <w:p>
      <w:pPr>
        <w:pStyle w:val="Title"/>
        <w:jc w:val="center"/>
      </w:pPr>
      <w:r>
        <w:t>Professional Help and Safety Presentation</w:t>
      </w:r>
    </w:p>
    <w:p>
      <w:pPr>
        <w:pStyle w:val="Subtitle"/>
        <w:jc w:val="center"/>
      </w:pPr>
      <w:r>
        <w:t>A structured disclosure packet for therapy, counseling, safety planning, legal consultation, or investigative review</w:t>
      </w:r>
    </w:p>
    <w:tbl>
      <w:tblPr>
        <w:tblW w:type="auto" w:w="0"/>
        <w:jc w:val="center"/>
        <w:tblLayout w:type="fixed"/>
        <w:tblLook w:firstColumn="1" w:firstRow="1" w:lastColumn="0" w:lastRow="0" w:noHBand="0" w:noVBand="1" w:val="04A0"/>
      </w:tblPr>
      <w:tblGrid>
        <w:gridCol w:w="2520"/>
        <w:gridCol w:w="7776"/>
      </w:tblGrid>
      <w:tr>
        <w:tc>
          <w:tcPr>
            <w:tcW w:type="dxa" w:w="4997"/>
            <w:tcMar>
              <w:top w:w="100" w:type="dxa"/>
              <w:start w:w="120" w:type="dxa"/>
              <w:bottom w:w="100" w:type="dxa"/>
              <w:end w:w="120" w:type="dxa"/>
            </w:tcMar>
            <w:vAlign w:val="center"/>
            <w:shd w:fill="EAF0F6"/>
          </w:tcPr>
          <w:p>
            <w:r>
              <w:rPr>
                <w:b/>
                <w:color w:val="21334A"/>
                <w:sz w:val="19"/>
              </w:rPr>
              <w:t>Prepared for</w:t>
            </w:r>
          </w:p>
        </w:tc>
        <w:tc>
          <w:tcPr>
            <w:tcW w:type="dxa" w:w="4997"/>
            <w:tcMar>
              <w:top w:w="100" w:type="dxa"/>
              <w:start w:w="120" w:type="dxa"/>
              <w:bottom w:w="100" w:type="dxa"/>
              <w:end w:w="120" w:type="dxa"/>
            </w:tcMar>
            <w:vAlign w:val="center"/>
          </w:tcPr>
          <w:p>
            <w:r>
              <w:rPr>
                <w:sz w:val="19"/>
              </w:rPr>
              <w:t>Romeo Imbien Mesina</w:t>
            </w:r>
          </w:p>
        </w:tc>
      </w:tr>
      <w:tr>
        <w:tc>
          <w:tcPr>
            <w:tcW w:type="dxa" w:w="4997"/>
            <w:tcMar>
              <w:top w:w="100" w:type="dxa"/>
              <w:start w:w="120" w:type="dxa"/>
              <w:bottom w:w="100" w:type="dxa"/>
              <w:end w:w="120" w:type="dxa"/>
            </w:tcMar>
            <w:vAlign w:val="center"/>
            <w:shd w:fill="EAF0F6"/>
          </w:tcPr>
          <w:p>
            <w:r>
              <w:rPr>
                <w:b/>
                <w:color w:val="21334A"/>
                <w:sz w:val="19"/>
              </w:rPr>
              <w:t>Record period</w:t>
            </w:r>
          </w:p>
        </w:tc>
        <w:tc>
          <w:tcPr>
            <w:tcW w:type="dxa" w:w="4997"/>
            <w:tcMar>
              <w:top w:w="100" w:type="dxa"/>
              <w:start w:w="120" w:type="dxa"/>
              <w:bottom w:w="100" w:type="dxa"/>
              <w:end w:w="120" w:type="dxa"/>
            </w:tcMar>
            <w:vAlign w:val="center"/>
          </w:tcPr>
          <w:p>
            <w:r>
              <w:rPr>
                <w:sz w:val="19"/>
              </w:rPr>
              <w:t>Conflict beginning July 11-12, 2026; packet assembled July 12, 2026</w:t>
            </w:r>
          </w:p>
        </w:tc>
      </w:tr>
      <w:tr>
        <w:tc>
          <w:tcPr>
            <w:tcW w:type="dxa" w:w="4997"/>
            <w:tcMar>
              <w:top w:w="100" w:type="dxa"/>
              <w:start w:w="120" w:type="dxa"/>
              <w:bottom w:w="100" w:type="dxa"/>
              <w:end w:w="120" w:type="dxa"/>
            </w:tcMar>
            <w:vAlign w:val="center"/>
            <w:shd w:fill="EAF0F6"/>
          </w:tcPr>
          <w:p>
            <w:r>
              <w:rPr>
                <w:b/>
                <w:color w:val="21334A"/>
                <w:sz w:val="19"/>
              </w:rPr>
              <w:t>Created</w:t>
            </w:r>
          </w:p>
        </w:tc>
        <w:tc>
          <w:tcPr>
            <w:tcW w:type="dxa" w:w="4997"/>
            <w:tcMar>
              <w:top w:w="100" w:type="dxa"/>
              <w:start w:w="120" w:type="dxa"/>
              <w:bottom w:w="100" w:type="dxa"/>
              <w:end w:w="120" w:type="dxa"/>
            </w:tcMar>
            <w:vAlign w:val="center"/>
          </w:tcPr>
          <w:p>
            <w:r>
              <w:rPr>
                <w:sz w:val="19"/>
              </w:rPr>
              <w:t>Sunday, July 12, 2026 at 1:12 PM EDT / Monday, July 13, 2026 at 1:12 AM PHT</w:t>
            </w:r>
          </w:p>
        </w:tc>
      </w:tr>
      <w:tr>
        <w:tc>
          <w:tcPr>
            <w:tcW w:type="dxa" w:w="4997"/>
            <w:tcMar>
              <w:top w:w="100" w:type="dxa"/>
              <w:start w:w="120" w:type="dxa"/>
              <w:bottom w:w="100" w:type="dxa"/>
              <w:end w:w="120" w:type="dxa"/>
            </w:tcMar>
            <w:vAlign w:val="center"/>
            <w:shd w:fill="EAF0F6"/>
          </w:tcPr>
          <w:p>
            <w:r>
              <w:rPr>
                <w:b/>
                <w:color w:val="21334A"/>
                <w:sz w:val="19"/>
              </w:rPr>
              <w:t>Classification</w:t>
            </w:r>
          </w:p>
        </w:tc>
        <w:tc>
          <w:tcPr>
            <w:tcW w:type="dxa" w:w="4997"/>
            <w:tcMar>
              <w:top w:w="100" w:type="dxa"/>
              <w:start w:w="120" w:type="dxa"/>
              <w:bottom w:w="100" w:type="dxa"/>
              <w:end w:w="120" w:type="dxa"/>
            </w:tcMar>
            <w:vAlign w:val="center"/>
          </w:tcPr>
          <w:p>
            <w:r>
              <w:rPr>
                <w:sz w:val="19"/>
              </w:rPr>
              <w:t>Private relationship and safety record</w:t>
            </w:r>
          </w:p>
        </w:tc>
      </w:tr>
    </w:tbl>
    <w:p/>
    <w:tbl>
      <w:tblPr>
        <w:tblW w:type="auto" w:w="0"/>
        <w:jc w:val="center"/>
        <w:tblLook w:firstColumn="1" w:firstRow="1" w:lastColumn="0" w:lastRow="0" w:noHBand="0" w:noVBand="1" w:val="04A0"/>
      </w:tblPr>
      <w:tblGrid>
        <w:gridCol w:w="9994"/>
      </w:tblGrid>
      <w:tr>
        <w:tc>
          <w:tcPr>
            <w:tcW w:type="dxa" w:w="9994"/>
            <w:shd w:fill="F7F1E2"/>
            <w:tcMar>
              <w:top w:w="160" w:type="dxa"/>
              <w:start w:w="220" w:type="dxa"/>
              <w:bottom w:w="160" w:type="dxa"/>
              <w:end w:w="220" w:type="dxa"/>
            </w:tcMar>
          </w:tcPr>
          <w:p>
            <w:pPr>
              <w:jc w:val="center"/>
            </w:pPr>
            <w:r>
              <w:rPr>
                <w:b/>
                <w:color w:val="21334A"/>
                <w:sz w:val="21"/>
              </w:rPr>
              <w:t>Purpose: prevention, truthful disclosure, child safety, accurate professional assessment, and early intervention - not punishment, retaliation, or leverage against either partner.</w:t>
            </w:r>
          </w:p>
        </w:tc>
      </w:tr>
    </w:tbl>
    <w:p>
      <w:r>
        <w:br w:type="page"/>
      </w:r>
    </w:p>
    <w:p>
      <w:pPr>
        <w:pStyle w:val="Heading1"/>
      </w:pPr>
      <w:r>
        <w:t>How to use this document</w:t>
      </w:r>
    </w:p>
    <w:p>
      <w:r>
        <w:t>This document is intended to help Romeo communicate clearly when emotional activation makes spontaneous verbal explanation difficult. It may be given to a therapist, counselor, physician, social worker, attorney, domestic-violence professional, child-safety professional, or other qualified reviewer. The reviewer should read the purpose statement, safety concerns, documentation-method section, and included source records before drawing conclusions.</w:t>
      </w:r>
    </w:p>
    <w:tbl>
      <w:tblPr>
        <w:tblW w:type="auto" w:w="0"/>
        <w:jc w:val="center"/>
        <w:tblLook w:firstColumn="1" w:firstRow="1" w:lastColumn="0" w:lastRow="0" w:noHBand="0" w:noVBand="1" w:val="04A0"/>
      </w:tblPr>
      <w:tblGrid>
        <w:gridCol w:w="9994"/>
      </w:tblGrid>
      <w:tr>
        <w:tc>
          <w:tcPr>
            <w:tcW w:type="dxa" w:w="9994"/>
            <w:shd w:fill="F7E9EA"/>
            <w:tcMar>
              <w:top w:w="140" w:type="dxa"/>
              <w:start w:w="180" w:type="dxa"/>
              <w:bottom w:w="140" w:type="dxa"/>
              <w:end w:w="180" w:type="dxa"/>
            </w:tcMar>
          </w:tcPr>
          <w:p>
            <w:r>
              <w:rPr>
                <w:b/>
                <w:color w:val="8F282C"/>
                <w:sz w:val="21"/>
              </w:rPr>
              <w:t>Emergency limitation</w:t>
              <w:br/>
            </w:r>
            <w:r>
              <w:rPr>
                <w:sz w:val="20"/>
              </w:rPr>
              <w:t>This packet is documentation, not an emergency-response system. If anyone appears to be in immediate danger of harming themselves, another person, or a child, documentation should stop and local emergency assistance or a trusted adult physically nearby should be contacted immediately.</w:t>
            </w:r>
          </w:p>
        </w:tc>
      </w:tr>
    </w:tbl>
    <w:p>
      <w:pPr>
        <w:pStyle w:val="Heading1"/>
      </w:pPr>
      <w:r>
        <w:t>Purpose of seeking professional help</w:t>
      </w:r>
    </w:p>
    <w:p>
      <w:r>
        <w:t>Romeo is not presenting these materials to prove that Pinky is a villain, to elevate a case against her, or to obtain automatic validation that he is innocent. He reports that he loves Pinky and wants to protect the relationship and the children. He is seeking professional help because the conflict pattern has reached a level where severe emotional flooding, self-harm language, references to a knife, repeated call termination, panic, contempt, and fear of possible physical harm are present.</w:t>
      </w:r>
    </w:p>
    <w:p>
      <w:r>
        <w:t>Romeo wants an independent professional to help determine what risks are real, what behavior must stop, what boundaries are necessary, whether individual treatment should occur before joint work, and how to prevent emotional conflict from becoming physical harm involving either partner or any child.</w:t>
      </w:r>
    </w:p>
    <w:p>
      <w:pPr>
        <w:pStyle w:val="Heading1"/>
      </w:pPr>
      <w:r>
        <w:t>Romeo's opening statement for an appointment</w:t>
      </w:r>
    </w:p>
    <w:p>
      <w:pPr>
        <w:pStyle w:val="Callout"/>
      </w:pPr>
      <w:r>
        <w:t>I communicate better in writing than when I am emotionally overwhelmed. I am not asking you to agree with me automatically or decide that Pinky is entirely wrong. I am asking you to understand the full pattern, assess the safety risks, identify my part honestly, identify her part honestly, and help us prevent harm. The original audio is the primary source. The reconstructed transcript and analysis are AI-assisted working documents that I am providing for context, not as a certified diagnosis or legal judgment.</w:t>
      </w:r>
    </w:p>
    <w:p>
      <w:pPr>
        <w:pStyle w:val="Heading1"/>
      </w:pPr>
      <w:r>
        <w:t>Why written preparation is necessary</w:t>
      </w:r>
    </w:p>
    <w:p>
      <w:r>
        <w:t>Romeo reports that during a telehealth therapy session on Tuesday, June 30, 2026 at approximately 3:00 PM Eastern Time, the therapist asked how she could help. His mind went blank, and he could not organize the relationship history or explain what kind of support he needed. The appointment moved through intake and risk questions, then into a brief account of work and relationship stress. Romeo felt that a conclusion about incompatibility and ending the relationship was reached too quickly, before he had communicated the full situation. He left feeling tense, judged, unsupported, and misunderstood.</w:t>
      </w:r>
    </w:p>
    <w:p>
      <w:r>
        <w:t>This packet is designed to reduce that communication failure. It does not require the professional to agree with Romeo. It gives the professional a structured starting point and source material so the appointment can focus on assessment, safety, behavior change, and treatment planning rather than Romeo struggling to produce a complete history under pressure.</w:t>
      </w:r>
    </w:p>
    <w:p>
      <w:pPr>
        <w:pStyle w:val="Heading1"/>
      </w:pPr>
      <w:r>
        <w:t>Relationship and family context</w:t>
      </w:r>
    </w:p>
    <w:p>
      <w:pPr>
        <w:pStyle w:val="ListBullet"/>
      </w:pPr>
      <w:r>
        <w:t>Romeo and Pinky are in a committed long-distance relationship and are planning a shared family life in the United States.</w:t>
      </w:r>
    </w:p>
    <w:p>
      <w:pPr>
        <w:pStyle w:val="ListBullet"/>
      </w:pPr>
      <w:r>
        <w:t>They share a daughter, Sabrina. Pinky is also caring for Savannah. Romeo is the father of Joey and Zach in the United States.</w:t>
      </w:r>
    </w:p>
    <w:p>
      <w:pPr>
        <w:pStyle w:val="ListBullet"/>
      </w:pPr>
      <w:r>
        <w:t>The relationship includes significant immigration, financial, parenting, distance, trust, and extended-family pressures.</w:t>
      </w:r>
    </w:p>
    <w:p>
      <w:pPr>
        <w:pStyle w:val="ListBullet"/>
      </w:pPr>
      <w:r>
        <w:t>Romeo reports genuine love, commitment, financial support, repeated attempts at repair, and fear of losing the relationship and access to his child.</w:t>
      </w:r>
    </w:p>
    <w:p>
      <w:pPr>
        <w:pStyle w:val="ListBullet"/>
      </w:pPr>
      <w:r>
        <w:t>Pinky reports feeling mistrusted, emotionally pressured, financially scrutinized, and in need of space during conflict.</w:t>
      </w:r>
    </w:p>
    <w:p>
      <w:pPr>
        <w:pStyle w:val="Heading1"/>
      </w:pPr>
      <w:r>
        <w:t>Summary of the July 11-12, 2026 conflict</w:t>
      </w:r>
    </w:p>
    <w:p>
      <w:r>
        <w:t>The immediate dispute began when Romeo asked whether Pinky's mother had requested money or whether Pinky had given money without telling him. Romeo understood that they had an agreement to communicate about money given to extended family because the funds were intended to support Pinky, the children, household needs, immigration, and their future. Pinky experienced the question - especially when repeated - as distrust and as a return to an older wound in which she felt Romeo used past sacrifices and financial support as emotional leverage.</w:t>
      </w:r>
    </w:p>
    <w:p>
      <w:r>
        <w:t>The original money question expanded into broader disputes about trust, freedom, financial dependence, comparisons with other men, whether Romeo respected Pinky's request for space, and whether ending a call meant abandonment. Romeo repeatedly sought reassurance and continued calling or pressing the conversation because he feared that space meant rejection or the end of the relationship. Pinky became increasingly defensive, contemptuous, and dismissive, and ended or dropped calls repeatedly.</w:t>
      </w:r>
    </w:p>
    <w:p>
      <w:r>
        <w:t>During the conflict, Pinky made statements concerning killing or cutting herself and referred to having held a knife previously. At least Sabrina was in Pinky's care or nearby during portions of the conflict. Romeo did not report making a threat to physically harm Pinky or a child; however, he now fears that continued escalation could eventually create physical danger for either partner or the children. The conversation later de-escalated, and the couple returned to affection and ordinary family conversation. The deeper conflict pattern remained unresolved.</w:t>
      </w:r>
    </w:p>
    <w:p>
      <w:pPr>
        <w:pStyle w:val="Heading1"/>
      </w:pPr>
      <w:r>
        <w:t>Primary safety concerns for professional assessment</w:t>
      </w:r>
    </w:p>
    <w:tbl>
      <w:tblPr>
        <w:tblStyle w:val="TableGrid"/>
        <w:tblW w:type="auto" w:w="0"/>
        <w:jc w:val="center"/>
        <w:tblLook w:firstColumn="1" w:firstRow="1" w:lastColumn="0" w:lastRow="0" w:noHBand="0" w:noVBand="1" w:val="04A0"/>
      </w:tblPr>
      <w:tblGrid>
        <w:gridCol w:w="3331"/>
        <w:gridCol w:w="3331"/>
        <w:gridCol w:w="3331"/>
      </w:tblGrid>
      <w:tr>
        <w:trPr>
          <w:tblHeader w:val="true"/>
        </w:trPr>
        <w:tc>
          <w:tcPr>
            <w:tcW w:type="dxa" w:w="3331"/>
            <w:shd w:fill="EAF0F6"/>
            <w:tcMar>
              <w:top w:w="100" w:type="dxa"/>
              <w:start w:w="120" w:type="dxa"/>
              <w:bottom w:w="100" w:type="dxa"/>
              <w:end w:w="120" w:type="dxa"/>
            </w:tcMar>
          </w:tcPr>
          <w:p>
            <w:r>
              <w:rPr>
                <w:b/>
                <w:color w:val="21334A"/>
                <w:sz w:val="18"/>
              </w:rPr>
              <w:t>Concern</w:t>
            </w:r>
          </w:p>
        </w:tc>
        <w:tc>
          <w:tcPr>
            <w:tcW w:type="dxa" w:w="3331"/>
            <w:shd w:fill="EAF0F6"/>
            <w:tcMar>
              <w:top w:w="100" w:type="dxa"/>
              <w:start w:w="120" w:type="dxa"/>
              <w:bottom w:w="100" w:type="dxa"/>
              <w:end w:w="120" w:type="dxa"/>
            </w:tcMar>
          </w:tcPr>
          <w:p>
            <w:r>
              <w:rPr>
                <w:b/>
                <w:color w:val="21334A"/>
                <w:sz w:val="18"/>
              </w:rPr>
              <w:t>Observed or reported basis</w:t>
            </w:r>
          </w:p>
        </w:tc>
        <w:tc>
          <w:tcPr>
            <w:tcW w:type="dxa" w:w="3331"/>
            <w:shd w:fill="EAF0F6"/>
            <w:tcMar>
              <w:top w:w="100" w:type="dxa"/>
              <w:start w:w="120" w:type="dxa"/>
              <w:bottom w:w="100" w:type="dxa"/>
              <w:end w:w="120" w:type="dxa"/>
            </w:tcMar>
          </w:tcPr>
          <w:p>
            <w:r>
              <w:rPr>
                <w:b/>
                <w:color w:val="21334A"/>
                <w:sz w:val="18"/>
              </w:rPr>
              <w:t>Assessment requested</w:t>
            </w:r>
          </w:p>
        </w:tc>
      </w:tr>
      <w:tr>
        <w:trPr>
          <w:cantSplit/>
        </w:trPr>
        <w:tc>
          <w:tcPr>
            <w:tcW w:type="dxa" w:w="3331"/>
            <w:tcMar>
              <w:top w:w="100" w:type="dxa"/>
              <w:start w:w="120" w:type="dxa"/>
              <w:bottom w:w="100" w:type="dxa"/>
              <w:end w:w="120" w:type="dxa"/>
            </w:tcMar>
          </w:tcPr>
          <w:p>
            <w:r>
              <w:rPr>
                <w:sz w:val="17"/>
              </w:rPr>
              <w:t>Self-harm risk</w:t>
            </w:r>
          </w:p>
        </w:tc>
        <w:tc>
          <w:tcPr>
            <w:tcW w:type="dxa" w:w="3331"/>
            <w:tcMar>
              <w:top w:w="100" w:type="dxa"/>
              <w:start w:w="120" w:type="dxa"/>
              <w:bottom w:w="100" w:type="dxa"/>
              <w:end w:w="120" w:type="dxa"/>
            </w:tcMar>
          </w:tcPr>
          <w:p>
            <w:r>
              <w:rPr>
                <w:sz w:val="17"/>
              </w:rPr>
              <w:t>Statements about killing/cutting herself and a previous knife incident during emotional escalation.</w:t>
            </w:r>
          </w:p>
        </w:tc>
        <w:tc>
          <w:tcPr>
            <w:tcW w:type="dxa" w:w="3331"/>
            <w:tcMar>
              <w:top w:w="100" w:type="dxa"/>
              <w:start w:w="120" w:type="dxa"/>
              <w:bottom w:w="100" w:type="dxa"/>
              <w:end w:w="120" w:type="dxa"/>
            </w:tcMar>
          </w:tcPr>
          <w:p>
            <w:r>
              <w:rPr>
                <w:sz w:val="17"/>
              </w:rPr>
              <w:t>Assess immediacy, history, intent, access to means, protective factors, and an appropriate safety plan.</w:t>
            </w:r>
          </w:p>
        </w:tc>
      </w:tr>
      <w:tr>
        <w:trPr>
          <w:cantSplit/>
        </w:trPr>
        <w:tc>
          <w:tcPr>
            <w:tcW w:type="dxa" w:w="3331"/>
            <w:tcMar>
              <w:top w:w="100" w:type="dxa"/>
              <w:start w:w="120" w:type="dxa"/>
              <w:bottom w:w="100" w:type="dxa"/>
              <w:end w:w="120" w:type="dxa"/>
            </w:tcMar>
          </w:tcPr>
          <w:p>
            <w:r>
              <w:rPr>
                <w:sz w:val="17"/>
              </w:rPr>
              <w:t>Escalation toward interpersonal harm</w:t>
            </w:r>
          </w:p>
        </w:tc>
        <w:tc>
          <w:tcPr>
            <w:tcW w:type="dxa" w:w="3331"/>
            <w:tcMar>
              <w:top w:w="100" w:type="dxa"/>
              <w:start w:w="120" w:type="dxa"/>
              <w:bottom w:w="100" w:type="dxa"/>
              <w:end w:w="120" w:type="dxa"/>
            </w:tcMar>
          </w:tcPr>
          <w:p>
            <w:r>
              <w:rPr>
                <w:sz w:val="17"/>
              </w:rPr>
              <w:t>Romeo fears either partner could eventually act physically if the pattern continues; current record shows severe emotional flooding but no documented threat by Romeo to harm Pinky.</w:t>
            </w:r>
          </w:p>
        </w:tc>
        <w:tc>
          <w:tcPr>
            <w:tcW w:type="dxa" w:w="3331"/>
            <w:tcMar>
              <w:top w:w="100" w:type="dxa"/>
              <w:start w:w="120" w:type="dxa"/>
              <w:bottom w:w="100" w:type="dxa"/>
              <w:end w:w="120" w:type="dxa"/>
            </w:tcMar>
          </w:tcPr>
          <w:p>
            <w:r>
              <w:rPr>
                <w:sz w:val="17"/>
              </w:rPr>
              <w:t>Assess violence risk without assuming guilt; identify warning signs, separation procedures, and crisis thresholds.</w:t>
            </w:r>
          </w:p>
        </w:tc>
      </w:tr>
      <w:tr>
        <w:trPr>
          <w:cantSplit/>
        </w:trPr>
        <w:tc>
          <w:tcPr>
            <w:tcW w:type="dxa" w:w="3331"/>
            <w:tcMar>
              <w:top w:w="100" w:type="dxa"/>
              <w:start w:w="120" w:type="dxa"/>
              <w:bottom w:w="100" w:type="dxa"/>
              <w:end w:w="120" w:type="dxa"/>
            </w:tcMar>
          </w:tcPr>
          <w:p>
            <w:r>
              <w:rPr>
                <w:sz w:val="17"/>
              </w:rPr>
              <w:t>Child exposure and safety</w:t>
            </w:r>
          </w:p>
        </w:tc>
        <w:tc>
          <w:tcPr>
            <w:tcW w:type="dxa" w:w="3331"/>
            <w:tcMar>
              <w:top w:w="100" w:type="dxa"/>
              <w:start w:w="120" w:type="dxa"/>
              <w:bottom w:w="100" w:type="dxa"/>
              <w:end w:w="120" w:type="dxa"/>
            </w:tcMar>
          </w:tcPr>
          <w:p>
            <w:r>
              <w:rPr>
                <w:sz w:val="17"/>
              </w:rPr>
              <w:t>A child was present or in Pinky's care during an intense conflict involving self-harm language and repeated call disruption.</w:t>
            </w:r>
          </w:p>
        </w:tc>
        <w:tc>
          <w:tcPr>
            <w:tcW w:type="dxa" w:w="3331"/>
            <w:tcMar>
              <w:top w:w="100" w:type="dxa"/>
              <w:start w:w="120" w:type="dxa"/>
              <w:bottom w:w="100" w:type="dxa"/>
              <w:end w:w="120" w:type="dxa"/>
            </w:tcMar>
          </w:tcPr>
          <w:p>
            <w:r>
              <w:rPr>
                <w:sz w:val="17"/>
              </w:rPr>
              <w:t>Assess emotional and physical safety for Sabrina and other children; establish adult conflict boundaries.</w:t>
            </w:r>
          </w:p>
        </w:tc>
      </w:tr>
      <w:tr>
        <w:trPr>
          <w:cantSplit/>
        </w:trPr>
        <w:tc>
          <w:tcPr>
            <w:tcW w:type="dxa" w:w="3331"/>
            <w:tcMar>
              <w:top w:w="100" w:type="dxa"/>
              <w:start w:w="120" w:type="dxa"/>
              <w:bottom w:w="100" w:type="dxa"/>
              <w:end w:w="120" w:type="dxa"/>
            </w:tcMar>
          </w:tcPr>
          <w:p>
            <w:r>
              <w:rPr>
                <w:sz w:val="17"/>
              </w:rPr>
              <w:t>Pursuit-withdrawal cycle</w:t>
            </w:r>
          </w:p>
        </w:tc>
        <w:tc>
          <w:tcPr>
            <w:tcW w:type="dxa" w:w="3331"/>
            <w:tcMar>
              <w:top w:w="100" w:type="dxa"/>
              <w:start w:w="120" w:type="dxa"/>
              <w:bottom w:w="100" w:type="dxa"/>
              <w:end w:w="120" w:type="dxa"/>
            </w:tcMar>
          </w:tcPr>
          <w:p>
            <w:r>
              <w:rPr>
                <w:sz w:val="17"/>
              </w:rPr>
              <w:t>Romeo repeatedly pursues reassurance; Pinky seeks distance, becomes harsher, and ends calls; each reaction intensifies the other.</w:t>
            </w:r>
          </w:p>
        </w:tc>
        <w:tc>
          <w:tcPr>
            <w:tcW w:type="dxa" w:w="3331"/>
            <w:tcMar>
              <w:top w:w="100" w:type="dxa"/>
              <w:start w:w="120" w:type="dxa"/>
              <w:bottom w:w="100" w:type="dxa"/>
              <w:end w:w="120" w:type="dxa"/>
            </w:tcMar>
          </w:tcPr>
          <w:p>
            <w:r>
              <w:rPr>
                <w:sz w:val="17"/>
              </w:rPr>
              <w:t>Teach structured pauses, return times, regulation skills, and enforceable communication limits.</w:t>
            </w:r>
          </w:p>
        </w:tc>
      </w:tr>
      <w:tr>
        <w:trPr>
          <w:cantSplit/>
        </w:trPr>
        <w:tc>
          <w:tcPr>
            <w:tcW w:type="dxa" w:w="3331"/>
            <w:tcMar>
              <w:top w:w="100" w:type="dxa"/>
              <w:start w:w="120" w:type="dxa"/>
              <w:bottom w:w="100" w:type="dxa"/>
              <w:end w:w="120" w:type="dxa"/>
            </w:tcMar>
          </w:tcPr>
          <w:p>
            <w:r>
              <w:rPr>
                <w:sz w:val="17"/>
              </w:rPr>
              <w:t>Financial conflict</w:t>
            </w:r>
          </w:p>
        </w:tc>
        <w:tc>
          <w:tcPr>
            <w:tcW w:type="dxa" w:w="3331"/>
            <w:tcMar>
              <w:top w:w="100" w:type="dxa"/>
              <w:start w:w="120" w:type="dxa"/>
              <w:bottom w:w="100" w:type="dxa"/>
              <w:end w:w="120" w:type="dxa"/>
            </w:tcMar>
          </w:tcPr>
          <w:p>
            <w:r>
              <w:rPr>
                <w:sz w:val="17"/>
              </w:rPr>
              <w:t>Disagreement about whether support may be redirected to extended family and whether questions amount to control.</w:t>
            </w:r>
          </w:p>
        </w:tc>
        <w:tc>
          <w:tcPr>
            <w:tcW w:type="dxa" w:w="3331"/>
            <w:tcMar>
              <w:top w:w="100" w:type="dxa"/>
              <w:start w:w="120" w:type="dxa"/>
              <w:bottom w:w="100" w:type="dxa"/>
              <w:end w:w="120" w:type="dxa"/>
            </w:tcMar>
          </w:tcPr>
          <w:p>
            <w:r>
              <w:rPr>
                <w:sz w:val="17"/>
              </w:rPr>
              <w:t>Create explicit categories, disclosure rules, discretionary funds, and limits on using past support as leverage.</w:t>
            </w:r>
          </w:p>
        </w:tc>
      </w:tr>
      <w:tr>
        <w:trPr>
          <w:cantSplit/>
        </w:trPr>
        <w:tc>
          <w:tcPr>
            <w:tcW w:type="dxa" w:w="3331"/>
            <w:tcMar>
              <w:top w:w="100" w:type="dxa"/>
              <w:start w:w="120" w:type="dxa"/>
              <w:bottom w:w="100" w:type="dxa"/>
              <w:end w:w="120" w:type="dxa"/>
            </w:tcMar>
          </w:tcPr>
          <w:p>
            <w:r>
              <w:rPr>
                <w:sz w:val="17"/>
              </w:rPr>
              <w:t>Trust and abandonment fears</w:t>
            </w:r>
          </w:p>
        </w:tc>
        <w:tc>
          <w:tcPr>
            <w:tcW w:type="dxa" w:w="3331"/>
            <w:tcMar>
              <w:top w:w="100" w:type="dxa"/>
              <w:start w:w="120" w:type="dxa"/>
              <w:bottom w:w="100" w:type="dxa"/>
              <w:end w:w="120" w:type="dxa"/>
            </w:tcMar>
          </w:tcPr>
          <w:p>
            <w:r>
              <w:rPr>
                <w:sz w:val="17"/>
              </w:rPr>
              <w:t>Repeated verification, fear of infidelity, fear of being replaced, and fear that temporary space means permanent loss.</w:t>
            </w:r>
          </w:p>
        </w:tc>
        <w:tc>
          <w:tcPr>
            <w:tcW w:type="dxa" w:w="3331"/>
            <w:tcMar>
              <w:top w:w="100" w:type="dxa"/>
              <w:start w:w="120" w:type="dxa"/>
              <w:bottom w:w="100" w:type="dxa"/>
              <w:end w:w="120" w:type="dxa"/>
            </w:tcMar>
          </w:tcPr>
          <w:p>
            <w:r>
              <w:rPr>
                <w:sz w:val="17"/>
              </w:rPr>
              <w:t>Assess attachment injuries, trauma history, jealousy, reassurance dependence, and treatment priorities.</w:t>
            </w:r>
          </w:p>
        </w:tc>
      </w:tr>
    </w:tbl>
    <w:p>
      <w:pPr>
        <w:pStyle w:val="Heading1"/>
      </w:pPr>
      <w:r>
        <w:t>Romeo's self-identified contribution and risk factors</w:t>
      </w:r>
    </w:p>
    <w:p>
      <w:pPr>
        <w:pStyle w:val="ListBullet"/>
      </w:pPr>
      <w:r>
        <w:t>He becomes emotionally flooded when Pinky ends a call, becomes silent, or asks for space without a defined return time.</w:t>
      </w:r>
    </w:p>
    <w:p>
      <w:pPr>
        <w:pStyle w:val="ListBullet"/>
      </w:pPr>
      <w:r>
        <w:t>He may repeat questions after receiving an answer because the answer does not relieve his anxiety.</w:t>
      </w:r>
    </w:p>
    <w:p>
      <w:pPr>
        <w:pStyle w:val="ListBullet"/>
      </w:pPr>
      <w:r>
        <w:t>He may call repeatedly, plead for reassurance, or ask whether Pinky loves or cares about him when she is already overwhelmed.</w:t>
      </w:r>
    </w:p>
    <w:p>
      <w:pPr>
        <w:pStyle w:val="ListBullet"/>
      </w:pPr>
      <w:r>
        <w:t>He sometimes treats temporary distance as evidence of abandonment and tries to resolve the entire relationship immediately.</w:t>
      </w:r>
    </w:p>
    <w:p>
      <w:pPr>
        <w:pStyle w:val="ListBullet"/>
      </w:pPr>
      <w:r>
        <w:t>He has previously referred to his sacrifices and financial support during arguments in ways Pinky experienced as emotional debt; he reports promising not to repeat that behavior.</w:t>
      </w:r>
    </w:p>
    <w:p>
      <w:pPr>
        <w:pStyle w:val="ListBullet"/>
      </w:pPr>
      <w:r>
        <w:t>He may over-sacrifice, neglect his own needs, or restrict ordinary decisions to prevent conflict, then become emotionally exhausted and resentful.</w:t>
      </w:r>
    </w:p>
    <w:p>
      <w:pPr>
        <w:pStyle w:val="ListBullet"/>
      </w:pPr>
      <w:r>
        <w:t>He is actively asking for accountability and does not want the record to present him as automatically innocent.</w:t>
      </w:r>
    </w:p>
    <w:p>
      <w:pPr>
        <w:pStyle w:val="Heading1"/>
      </w:pPr>
      <w:r>
        <w:t>Pinky's reported or recorded contribution and risk factors</w:t>
      </w:r>
    </w:p>
    <w:p>
      <w:pPr>
        <w:pStyle w:val="ListBullet"/>
      </w:pPr>
      <w:r>
        <w:t>She experiences repeated questions as mistrust and may react to present questions through older wounds involving money, control, and indebtedness.</w:t>
      </w:r>
    </w:p>
    <w:p>
      <w:pPr>
        <w:pStyle w:val="ListBullet"/>
      </w:pPr>
      <w:r>
        <w:t>During escalation, she may use profanity, contempt, sarcasm, comparisons with other men, dismissive statements, or repeated call termination.</w:t>
      </w:r>
    </w:p>
    <w:p>
      <w:pPr>
        <w:pStyle w:val="ListBullet"/>
      </w:pPr>
      <w:r>
        <w:t>She may request space without providing a clear return time, which intensifies Romeo's abandonment fear.</w:t>
      </w:r>
    </w:p>
    <w:p>
      <w:pPr>
        <w:pStyle w:val="ListBullet"/>
      </w:pPr>
      <w:r>
        <w:t>She made serious self-harm statements and referred to holding a knife previously; these require professional assessment regardless of whether they expressed immediate intent, emotional dysregulation, or an attempt to communicate distress.</w:t>
      </w:r>
    </w:p>
    <w:p>
      <w:pPr>
        <w:pStyle w:val="ListBullet"/>
      </w:pPr>
      <w:r>
        <w:t>She appears to feel financially dependent and scrutinized and has expressed a preference to earn her own money to avoid feeling controlled.</w:t>
      </w:r>
    </w:p>
    <w:p>
      <w:pPr>
        <w:pStyle w:val="ListBullet"/>
      </w:pPr>
      <w:r>
        <w:t>She later demonstrated capacity for de-escalation, apology, affection, and ordinary family communication, suggesting that repair remains possible but is not yet durable.</w:t>
      </w:r>
    </w:p>
    <w:p>
      <w:pPr>
        <w:pStyle w:val="Heading1"/>
      </w:pPr>
      <w:r>
        <w:t>Help being requested</w:t>
      </w:r>
    </w:p>
    <w:p>
      <w:pPr>
        <w:ind w:left="403" w:hanging="403"/>
      </w:pPr>
      <w:r>
        <w:rPr>
          <w:b w:val="0"/>
        </w:rPr>
        <w:t xml:space="preserve">1. </w:t>
      </w:r>
      <w:r>
        <w:t>Conduct an individualized safety and risk assessment for self-harm, interpersonal violence, and child exposure.</w:t>
      </w:r>
    </w:p>
    <w:p>
      <w:pPr>
        <w:ind w:left="403" w:hanging="403"/>
      </w:pPr>
      <w:r>
        <w:rPr>
          <w:b w:val="0"/>
        </w:rPr>
        <w:t xml:space="preserve">2. </w:t>
      </w:r>
      <w:r>
        <w:t>Help Romeo create a personal regulation and non-pursuit plan for moments when Pinky requests space or ends contact.</w:t>
      </w:r>
    </w:p>
    <w:p>
      <w:pPr>
        <w:ind w:left="403" w:hanging="403"/>
      </w:pPr>
      <w:r>
        <w:rPr>
          <w:b w:val="0"/>
        </w:rPr>
        <w:t xml:space="preserve">3. </w:t>
      </w:r>
      <w:r>
        <w:t>Help Pinky, if she voluntarily participates and it is clinically appropriate, create a safe method for requesting space without contempt, disappearance, or self-harm language.</w:t>
      </w:r>
    </w:p>
    <w:p>
      <w:pPr>
        <w:ind w:left="403" w:hanging="403"/>
      </w:pPr>
      <w:r>
        <w:rPr>
          <w:b w:val="0"/>
        </w:rPr>
        <w:t xml:space="preserve">4. </w:t>
      </w:r>
      <w:r>
        <w:t>Determine whether individual therapy should occur before couples counseling and whether joint sessions are currently safe and productive.</w:t>
      </w:r>
    </w:p>
    <w:p>
      <w:pPr>
        <w:ind w:left="403" w:hanging="403"/>
      </w:pPr>
      <w:r>
        <w:rPr>
          <w:b w:val="0"/>
        </w:rPr>
        <w:t xml:space="preserve">5. </w:t>
      </w:r>
      <w:r>
        <w:t>Develop a written conflict protocol: one-question rule, no-insult rule, structured pause, fixed reconnection time, and emergency escalation criteria.</w:t>
      </w:r>
    </w:p>
    <w:p>
      <w:pPr>
        <w:ind w:left="403" w:hanging="403"/>
      </w:pPr>
      <w:r>
        <w:rPr>
          <w:b w:val="0"/>
        </w:rPr>
        <w:t xml:space="preserve">6. </w:t>
      </w:r>
      <w:r>
        <w:t>Develop a written money agreement covering household funds, children, immigration savings, personal discretionary money, gifts, and support to extended family.</w:t>
      </w:r>
    </w:p>
    <w:p>
      <w:pPr>
        <w:ind w:left="403" w:hanging="403"/>
      </w:pPr>
      <w:r>
        <w:rPr>
          <w:b w:val="0"/>
        </w:rPr>
        <w:t xml:space="preserve">7. </w:t>
      </w:r>
      <w:r>
        <w:t>Address attachment injuries, trust, jealousy, fear of abandonment, financial dependence, and identity loss without reducing the entire relationship to a single argument.</w:t>
      </w:r>
    </w:p>
    <w:p>
      <w:pPr>
        <w:ind w:left="403" w:hanging="403"/>
      </w:pPr>
      <w:r>
        <w:rPr>
          <w:b w:val="0"/>
        </w:rPr>
        <w:t xml:space="preserve">8. </w:t>
      </w:r>
      <w:r>
        <w:t>Protect the children from adult conflict, loyalty tests, one-sided narratives, and exposure to threats or emotional crises.</w:t>
      </w:r>
    </w:p>
    <w:p>
      <w:pPr>
        <w:ind w:left="403" w:hanging="403"/>
      </w:pPr>
      <w:r>
        <w:rPr>
          <w:b w:val="0"/>
        </w:rPr>
        <w:t xml:space="preserve">9. </w:t>
      </w:r>
      <w:r>
        <w:t>Help Romeo distinguish truthful documentation from compulsive evidence gathering and ensure the records support treatment rather than prolong the conflict.</w:t>
      </w:r>
    </w:p>
    <w:p>
      <w:pPr>
        <w:pStyle w:val="Heading1"/>
      </w:pPr>
      <w:r>
        <w:t>Questions for the reviewing professional</w:t>
      </w:r>
    </w:p>
    <w:p>
      <w:pPr>
        <w:pStyle w:val="ListBullet"/>
      </w:pPr>
      <w:r>
        <w:t>What level of self-harm or violence risk is indicated by the statements and behavior in the source record?</w:t>
      </w:r>
    </w:p>
    <w:p>
      <w:pPr>
        <w:pStyle w:val="ListBullet"/>
      </w:pPr>
      <w:r>
        <w:t>What immediate safety plan should each partner follow during escalation?</w:t>
      </w:r>
    </w:p>
    <w:p>
      <w:pPr>
        <w:pStyle w:val="ListBullet"/>
      </w:pPr>
      <w:r>
        <w:t>Is couples counseling appropriate now, or should individual stabilization occur first?</w:t>
      </w:r>
    </w:p>
    <w:p>
      <w:pPr>
        <w:pStyle w:val="ListBullet"/>
      </w:pPr>
      <w:r>
        <w:t>What boundaries should govern space, call termination, repeated calling, and reconnection?</w:t>
      </w:r>
    </w:p>
    <w:p>
      <w:pPr>
        <w:pStyle w:val="ListBullet"/>
      </w:pPr>
      <w:r>
        <w:t>How can financial accountability be maintained without creating emotional debt or coercive control?</w:t>
      </w:r>
    </w:p>
    <w:p>
      <w:pPr>
        <w:pStyle w:val="ListBullet"/>
      </w:pPr>
      <w:r>
        <w:t>What part of Romeo's behavior is anxiety-driven pursuit, and what treatment may help him tolerate uncertainty without collapsing or chasing?</w:t>
      </w:r>
    </w:p>
    <w:p>
      <w:pPr>
        <w:pStyle w:val="ListBullet"/>
      </w:pPr>
      <w:r>
        <w:t>What part of Pinky's behavior reflects dysregulation, trauma, contempt, coercion, or a need for independent clinical assessment?</w:t>
      </w:r>
    </w:p>
    <w:p>
      <w:pPr>
        <w:pStyle w:val="ListBullet"/>
      </w:pPr>
      <w:r>
        <w:t>How should the adults protect the children if another conflict includes self-harm statements, weapons, or severe emotional escalation?</w:t>
      </w:r>
    </w:p>
    <w:p>
      <w:pPr>
        <w:pStyle w:val="ListBullet"/>
      </w:pPr>
      <w:r>
        <w:t>What documentation should be retained, and what should not be used as a substitute for direct clinical or legal assessment?</w:t>
      </w:r>
    </w:p>
    <w:p>
      <w:pPr>
        <w:pStyle w:val="Heading1"/>
      </w:pPr>
      <w:r>
        <w:t>Documentation origin, method, and limitations</w:t>
      </w:r>
    </w:p>
    <w:p>
      <w:r>
        <w:t>The documentation process is disclosed fully so that no reviewer mistakes an AI-assisted working record for a certified transcript or independent witness statement.</w:t>
      </w:r>
    </w:p>
    <w:p>
      <w:pPr>
        <w:ind w:left="403" w:hanging="403"/>
      </w:pPr>
      <w:r>
        <w:rPr>
          <w:b w:val="0"/>
        </w:rPr>
        <w:t xml:space="preserve">1. </w:t>
      </w:r>
      <w:r>
        <w:t>Romeo personally recorded the original telephone/video conversation using his own device or application. The specific device/application should be recorded separately if known.</w:t>
      </w:r>
    </w:p>
    <w:p>
      <w:pPr>
        <w:ind w:left="403" w:hanging="403"/>
      </w:pPr>
      <w:r>
        <w:rPr>
          <w:b w:val="0"/>
        </w:rPr>
        <w:t xml:space="preserve">2. </w:t>
      </w:r>
      <w:r>
        <w:t>The original audio recording is the primary source and should remain preserved in its original, unedited form with the original filename, creation date, and available metadata.</w:t>
      </w:r>
    </w:p>
    <w:p>
      <w:pPr>
        <w:ind w:left="403" w:hanging="403"/>
      </w:pPr>
      <w:r>
        <w:rPr>
          <w:b w:val="0"/>
        </w:rPr>
        <w:t xml:space="preserve">3. </w:t>
      </w:r>
      <w:r>
        <w:t>An automatic speech-to-text function produced the conversation in multiple segments because the transcription function had time or message limits.</w:t>
      </w:r>
    </w:p>
    <w:p>
      <w:pPr>
        <w:ind w:left="403" w:hanging="403"/>
      </w:pPr>
      <w:r>
        <w:rPr>
          <w:b w:val="0"/>
        </w:rPr>
        <w:t xml:space="preserve">4. </w:t>
      </w:r>
      <w:r>
        <w:t>Romeo sent the transcription segments to ChatGPT as they were produced. The raw transcription contained merged speakers, repetitions, incomplete sentences, mixed Tagalog and English, profanity, and possible recognition errors.</w:t>
      </w:r>
    </w:p>
    <w:p>
      <w:pPr>
        <w:ind w:left="403" w:hanging="403"/>
      </w:pPr>
      <w:r>
        <w:rPr>
          <w:b w:val="0"/>
        </w:rPr>
        <w:t xml:space="preserve">5. </w:t>
      </w:r>
      <w:r>
        <w:t>ChatGPT used context to separate likely speaking turns and label Romeo and Pinky. Uncertain portions were intended to be marked rather than presented as certain.</w:t>
      </w:r>
    </w:p>
    <w:p>
      <w:pPr>
        <w:ind w:left="403" w:hanging="403"/>
      </w:pPr>
      <w:r>
        <w:rPr>
          <w:b w:val="0"/>
        </w:rPr>
        <w:t xml:space="preserve">6. </w:t>
      </w:r>
      <w:r>
        <w:t>ChatGPT organized the material, preserved the surrounding messages, and created an AI-assisted reconstructed transcript.</w:t>
      </w:r>
    </w:p>
    <w:p>
      <w:pPr>
        <w:ind w:left="403" w:hanging="403"/>
      </w:pPr>
      <w:r>
        <w:rPr>
          <w:b w:val="0"/>
        </w:rPr>
        <w:t xml:space="preserve">7. </w:t>
      </w:r>
      <w:r>
        <w:t>ChatGPT later produced an interpretive conflict analysis based on the reconstructed transcript, Romeo's account, and prior relationship context supplied by Romeo.</w:t>
      </w:r>
    </w:p>
    <w:p>
      <w:pPr>
        <w:ind w:left="403" w:hanging="403"/>
      </w:pPr>
      <w:r>
        <w:rPr>
          <w:b w:val="0"/>
        </w:rPr>
        <w:t xml:space="preserve">8. </w:t>
      </w:r>
      <w:r>
        <w:t>Romeo is responsible for reviewing the reconstruction against the original audio and recording any corrections. A certified forensic transcriptionist or qualified translator should be used if formal authentication is required.</w:t>
      </w:r>
    </w:p>
    <w:p>
      <w:pPr>
        <w:pStyle w:val="Heading2"/>
      </w:pPr>
      <w:r>
        <w:t>Important limitations</w:t>
      </w:r>
    </w:p>
    <w:p>
      <w:pPr>
        <w:pStyle w:val="ListBullet"/>
      </w:pPr>
      <w:r>
        <w:t>ChatGPT did not witness the relationship or the original event independently.</w:t>
      </w:r>
    </w:p>
    <w:p>
      <w:pPr>
        <w:pStyle w:val="ListBullet"/>
      </w:pPr>
      <w:r>
        <w:t>The reconstructed transcript is not a certified forensic transcript and may contain speech-recognition or speaker-identification errors.</w:t>
      </w:r>
    </w:p>
    <w:p>
      <w:pPr>
        <w:pStyle w:val="ListBullet"/>
      </w:pPr>
      <w:r>
        <w:t>The analysis is not a clinical diagnosis, legal ruling, custody finding, risk assessment, or determination of guilt.</w:t>
      </w:r>
    </w:p>
    <w:p>
      <w:pPr>
        <w:pStyle w:val="ListBullet"/>
      </w:pPr>
      <w:r>
        <w:t>The documents reflect the source material and context provided by Romeo and may not contain Pinky's complete history or perspective outside the recorded conversation.</w:t>
      </w:r>
    </w:p>
    <w:p>
      <w:pPr>
        <w:pStyle w:val="ListBullet"/>
      </w:pPr>
      <w:r>
        <w:t>Recording-consent laws, admissibility rules, privacy obligations, and disclosure requirements vary by jurisdiction. A qualified attorney should evaluate legal use before the materials are submitted in a legal proceeding.</w:t>
      </w:r>
    </w:p>
    <w:p>
      <w:pPr>
        <w:pStyle w:val="ListBullet"/>
      </w:pPr>
      <w:r>
        <w:t>The records may assist a professional in asking better questions, but they should not replace direct interviews, collateral information, or independent assessment.</w:t>
      </w:r>
    </w:p>
    <w:p>
      <w:pPr>
        <w:pStyle w:val="Heading2"/>
      </w:pPr>
      <w:r>
        <w:t>Chain of documentation</w:t>
      </w:r>
    </w:p>
    <w:p>
      <w:pPr>
        <w:pStyle w:val="Callout"/>
      </w:pPr>
      <w:r>
        <w:t>Original conversation -&gt; Romeo's original recording -&gt; automatic transcription segments -&gt; segments submitted by Romeo to ChatGPT -&gt; AI-assisted speaker reconstruction -&gt; Romeo's review -&gt; conflict analysis -&gt; professional-help and safety presentation packet.</w:t>
      </w:r>
    </w:p>
    <w:p>
      <w:pPr>
        <w:pStyle w:val="Heading1"/>
      </w:pPr>
      <w:r>
        <w:t>Materials included in the ZIP package</w:t>
      </w:r>
    </w:p>
    <w:tbl>
      <w:tblPr>
        <w:tblStyle w:val="TableGrid"/>
        <w:tblW w:type="auto" w:w="0"/>
        <w:jc w:val="center"/>
        <w:tblLook w:firstColumn="1" w:firstRow="1" w:lastColumn="0" w:lastRow="0" w:noHBand="0" w:noVBand="1" w:val="04A0"/>
      </w:tblPr>
      <w:tblGrid>
        <w:gridCol w:w="3331"/>
        <w:gridCol w:w="3331"/>
        <w:gridCol w:w="3331"/>
      </w:tblGrid>
      <w:tr>
        <w:trPr>
          <w:tblHeader w:val="true"/>
        </w:trPr>
        <w:tc>
          <w:tcPr>
            <w:tcW w:type="dxa" w:w="3331"/>
            <w:shd w:fill="EAF0F6"/>
            <w:tcMar>
              <w:top w:w="100" w:type="dxa"/>
              <w:start w:w="120" w:type="dxa"/>
              <w:bottom w:w="100" w:type="dxa"/>
              <w:end w:w="120" w:type="dxa"/>
            </w:tcMar>
          </w:tcPr>
          <w:p>
            <w:r>
              <w:rPr>
                <w:b/>
                <w:color w:val="21334A"/>
                <w:sz w:val="18"/>
              </w:rPr>
              <w:t>No.</w:t>
            </w:r>
          </w:p>
        </w:tc>
        <w:tc>
          <w:tcPr>
            <w:tcW w:type="dxa" w:w="3331"/>
            <w:shd w:fill="EAF0F6"/>
            <w:tcMar>
              <w:top w:w="100" w:type="dxa"/>
              <w:start w:w="120" w:type="dxa"/>
              <w:bottom w:w="100" w:type="dxa"/>
              <w:end w:w="120" w:type="dxa"/>
            </w:tcMar>
          </w:tcPr>
          <w:p>
            <w:r>
              <w:rPr>
                <w:b/>
                <w:color w:val="21334A"/>
                <w:sz w:val="18"/>
              </w:rPr>
              <w:t>File</w:t>
            </w:r>
          </w:p>
        </w:tc>
        <w:tc>
          <w:tcPr>
            <w:tcW w:type="dxa" w:w="3331"/>
            <w:shd w:fill="EAF0F6"/>
            <w:tcMar>
              <w:top w:w="100" w:type="dxa"/>
              <w:start w:w="120" w:type="dxa"/>
              <w:bottom w:w="100" w:type="dxa"/>
              <w:end w:w="120" w:type="dxa"/>
            </w:tcMar>
          </w:tcPr>
          <w:p>
            <w:r>
              <w:rPr>
                <w:b/>
                <w:color w:val="21334A"/>
                <w:sz w:val="18"/>
              </w:rPr>
              <w:t>Purpose</w:t>
            </w:r>
          </w:p>
        </w:tc>
      </w:tr>
      <w:tr>
        <w:trPr>
          <w:cantSplit/>
        </w:trPr>
        <w:tc>
          <w:tcPr>
            <w:tcW w:type="dxa" w:w="3331"/>
            <w:tcMar>
              <w:top w:w="100" w:type="dxa"/>
              <w:start w:w="120" w:type="dxa"/>
              <w:bottom w:w="100" w:type="dxa"/>
              <w:end w:w="120" w:type="dxa"/>
            </w:tcMar>
          </w:tcPr>
          <w:p>
            <w:r>
              <w:rPr>
                <w:sz w:val="17"/>
              </w:rPr>
              <w:t>1</w:t>
            </w:r>
          </w:p>
        </w:tc>
        <w:tc>
          <w:tcPr>
            <w:tcW w:type="dxa" w:w="3331"/>
            <w:tcMar>
              <w:top w:w="100" w:type="dxa"/>
              <w:start w:w="120" w:type="dxa"/>
              <w:bottom w:w="100" w:type="dxa"/>
              <w:end w:w="120" w:type="dxa"/>
            </w:tcMar>
          </w:tcPr>
          <w:p>
            <w:r>
              <w:rPr>
                <w:sz w:val="17"/>
              </w:rPr>
              <w:t>Romeo_Pinky_Full_Chat_Transcript_Reconstructed_2026-07-12.docx</w:t>
            </w:r>
          </w:p>
        </w:tc>
        <w:tc>
          <w:tcPr>
            <w:tcW w:type="dxa" w:w="3331"/>
            <w:tcMar>
              <w:top w:w="100" w:type="dxa"/>
              <w:start w:w="120" w:type="dxa"/>
              <w:bottom w:w="100" w:type="dxa"/>
              <w:end w:w="120" w:type="dxa"/>
            </w:tcMar>
          </w:tcPr>
          <w:p>
            <w:r>
              <w:rPr>
                <w:sz w:val="17"/>
              </w:rPr>
              <w:t>AI-assisted speaker-labeled transcript preserving the surrounding Romeo-Jarvis exchange.</w:t>
            </w:r>
          </w:p>
        </w:tc>
      </w:tr>
      <w:tr>
        <w:trPr>
          <w:cantSplit/>
        </w:trPr>
        <w:tc>
          <w:tcPr>
            <w:tcW w:type="dxa" w:w="3331"/>
            <w:tcMar>
              <w:top w:w="100" w:type="dxa"/>
              <w:start w:w="120" w:type="dxa"/>
              <w:bottom w:w="100" w:type="dxa"/>
              <w:end w:w="120" w:type="dxa"/>
            </w:tcMar>
          </w:tcPr>
          <w:p>
            <w:r>
              <w:rPr>
                <w:sz w:val="17"/>
              </w:rPr>
              <w:t>2</w:t>
            </w:r>
          </w:p>
        </w:tc>
        <w:tc>
          <w:tcPr>
            <w:tcW w:type="dxa" w:w="3331"/>
            <w:tcMar>
              <w:top w:w="100" w:type="dxa"/>
              <w:start w:w="120" w:type="dxa"/>
              <w:bottom w:w="100" w:type="dxa"/>
              <w:end w:w="120" w:type="dxa"/>
            </w:tcMar>
          </w:tcPr>
          <w:p>
            <w:r>
              <w:rPr>
                <w:sz w:val="17"/>
              </w:rPr>
              <w:t>Romeo_Pinky_Conflict_Analysis_Record_2026-07-12.docx</w:t>
            </w:r>
          </w:p>
        </w:tc>
        <w:tc>
          <w:tcPr>
            <w:tcW w:type="dxa" w:w="3331"/>
            <w:tcMar>
              <w:top w:w="100" w:type="dxa"/>
              <w:start w:w="120" w:type="dxa"/>
              <w:bottom w:w="100" w:type="dxa"/>
              <w:end w:w="120" w:type="dxa"/>
            </w:tcMar>
          </w:tcPr>
          <w:p>
            <w:r>
              <w:rPr>
                <w:sz w:val="17"/>
              </w:rPr>
              <w:t>Timeline, verbatim Jarvis analysis, and conflict summary report.</w:t>
            </w:r>
          </w:p>
        </w:tc>
      </w:tr>
      <w:tr>
        <w:trPr>
          <w:cantSplit/>
        </w:trPr>
        <w:tc>
          <w:tcPr>
            <w:tcW w:type="dxa" w:w="3331"/>
            <w:tcMar>
              <w:top w:w="100" w:type="dxa"/>
              <w:start w:w="120" w:type="dxa"/>
              <w:bottom w:w="100" w:type="dxa"/>
              <w:end w:w="120" w:type="dxa"/>
            </w:tcMar>
          </w:tcPr>
          <w:p>
            <w:r>
              <w:rPr>
                <w:sz w:val="17"/>
              </w:rPr>
              <w:t>3</w:t>
            </w:r>
          </w:p>
        </w:tc>
        <w:tc>
          <w:tcPr>
            <w:tcW w:type="dxa" w:w="3331"/>
            <w:tcMar>
              <w:top w:w="100" w:type="dxa"/>
              <w:start w:w="120" w:type="dxa"/>
              <w:bottom w:w="100" w:type="dxa"/>
              <w:end w:w="120" w:type="dxa"/>
            </w:tcMar>
          </w:tcPr>
          <w:p>
            <w:r>
              <w:rPr>
                <w:sz w:val="17"/>
              </w:rPr>
              <w:t>Romeo_Pinky_Professional_Help_and_Safety_Presentation_2026-07-12.docx</w:t>
            </w:r>
          </w:p>
        </w:tc>
        <w:tc>
          <w:tcPr>
            <w:tcW w:type="dxa" w:w="3331"/>
            <w:tcMar>
              <w:top w:w="100" w:type="dxa"/>
              <w:start w:w="120" w:type="dxa"/>
              <w:bottom w:w="100" w:type="dxa"/>
              <w:end w:w="120" w:type="dxa"/>
            </w:tcMar>
          </w:tcPr>
          <w:p>
            <w:r>
              <w:rPr>
                <w:sz w:val="17"/>
              </w:rPr>
              <w:t>This professional presentation, safety disclosure, request for help, and documentation-method statement.</w:t>
            </w:r>
          </w:p>
        </w:tc>
      </w:tr>
      <w:tr>
        <w:trPr>
          <w:cantSplit/>
        </w:trPr>
        <w:tc>
          <w:tcPr>
            <w:tcW w:type="dxa" w:w="3331"/>
            <w:tcMar>
              <w:top w:w="100" w:type="dxa"/>
              <w:start w:w="120" w:type="dxa"/>
              <w:bottom w:w="100" w:type="dxa"/>
              <w:end w:w="120" w:type="dxa"/>
            </w:tcMar>
          </w:tcPr>
          <w:p>
            <w:r>
              <w:rPr>
                <w:sz w:val="17"/>
              </w:rPr>
              <w:t>4</w:t>
            </w:r>
          </w:p>
        </w:tc>
        <w:tc>
          <w:tcPr>
            <w:tcW w:type="dxa" w:w="3331"/>
            <w:tcMar>
              <w:top w:w="100" w:type="dxa"/>
              <w:start w:w="120" w:type="dxa"/>
              <w:bottom w:w="100" w:type="dxa"/>
              <w:end w:w="120" w:type="dxa"/>
            </w:tcMar>
          </w:tcPr>
          <w:p>
            <w:r>
              <w:rPr>
                <w:sz w:val="17"/>
              </w:rPr>
              <w:t>Relationship_Conflict_Record_Protocol_Verbatim_2026-07-12.docx</w:t>
            </w:r>
          </w:p>
        </w:tc>
        <w:tc>
          <w:tcPr>
            <w:tcW w:type="dxa" w:w="3331"/>
            <w:tcMar>
              <w:top w:w="100" w:type="dxa"/>
              <w:start w:w="120" w:type="dxa"/>
              <w:bottom w:w="100" w:type="dxa"/>
              <w:end w:w="120" w:type="dxa"/>
            </w:tcMar>
          </w:tcPr>
          <w:p>
            <w:r>
              <w:rPr>
                <w:sz w:val="17"/>
              </w:rPr>
              <w:t>Word-for-word preservation of the standing protocol for future conflict records.</w:t>
            </w:r>
          </w:p>
        </w:tc>
      </w:tr>
    </w:tbl>
    <w:p>
      <w:pPr>
        <w:pStyle w:val="Heading1"/>
      </w:pPr>
      <w:r>
        <w:t>Professional notes and recommended actions</w:t>
      </w:r>
    </w:p>
    <w:p>
      <w:r>
        <w:rPr>
          <w:b/>
          <w:color w:val="21334A"/>
        </w:rPr>
        <w:t>Immediate safety findings: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color w:val="21334A"/>
        </w:rPr>
        <w:t>Individual treatment recommendations: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color w:val="21334A"/>
        </w:rPr>
        <w:t>Couples-work suitability and conditions: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color w:val="21334A"/>
        </w:rPr>
        <w:t>Child-safety recommendations: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color w:val="21334A"/>
        </w:rPr>
        <w:t>Financial and communication boundaries: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color w:val="21334A"/>
        </w:rPr>
        <w:t>Follow-up date and responsible professional:</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Romeo's acknowledgment</w:t>
      </w:r>
    </w:p>
    <w:p>
      <w:r>
        <w:t>I understand that these documents are working records intended to support communication and professional assessment. I will preserve the original audio, disclose the AI-assisted process, identify corrections when discovered, and avoid presenting the analysis as an independent diagnosis or legal verdict.</w:t>
      </w:r>
    </w:p>
    <w:p>
      <w:r>
        <w:br/>
        <w:t>Romeo signature: ____________________________________    Date: ____________________</w:t>
      </w:r>
    </w:p>
    <w:p>
      <w:r>
        <w:t>Professional receiving packet: _________________________    Date: ____________________</w:t>
      </w:r>
    </w:p>
    <w:sectPr w:rsidR="00FC693F" w:rsidRPr="0006063C" w:rsidSect="00034616">
      <w:headerReference w:type="default" r:id="rId9"/>
      <w:footerReference w:type="default" r:id="rId10"/>
      <w:pgSz w:w="12240" w:h="15840"/>
      <w:pgMar w:top="1008" w:right="1123" w:bottom="1008"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4C5763"/>
        <w:sz w:val="16"/>
      </w:rPr>
      <w:t xml:space="preserve">Romeo &amp; Pinky | Private | Page </w:t>
    </w:r>
    <w:r>
      <w:fldChar w:fldCharType="begin"/>
      <w:instrText xml:space="preserve"> PAGE </w:instrText>
      <w:fldChar w:fldCharType="end"/>
    </w:r>
    <w:r>
      <w:rPr>
        <w:rFonts w:ascii="Aptos" w:hAnsi="Aptos"/>
        <w:color w:val="4C5763"/>
        <w:sz w:val="16"/>
      </w:rP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4C5763"/>
        <w:sz w:val="16"/>
      </w:rPr>
      <w:t>PRIVATE PROFESSIONAL-HELP RECORD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24272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21334A"/>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ptos Display" w:hAnsi="Aptos Display"/>
      <w:b/>
      <w:bCs/>
      <w:color w:val="21334A"/>
      <w:sz w:val="25"/>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ptos" w:hAnsi="Aptos"/>
      <w:b/>
      <w:bCs/>
      <w:color w:val="9E772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contextualSpacing/>
    </w:pPr>
    <w:rPr>
      <w:rFonts w:asciiTheme="majorHAnsi" w:eastAsiaTheme="majorEastAsia" w:hAnsiTheme="majorHAnsi" w:cstheme="majorBidi" w:ascii="Aptos Display" w:hAnsi="Aptos Display"/>
      <w:b/>
      <w:color w:val="21334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80"/>
    </w:pPr>
    <w:rPr>
      <w:rFonts w:asciiTheme="majorHAnsi" w:eastAsiaTheme="majorEastAsia" w:hAnsiTheme="majorHAnsi" w:cstheme="majorBidi" w:ascii="Aptos" w:hAnsi="Aptos"/>
      <w:i/>
      <w:iCs/>
      <w:color w:val="4C5763"/>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00" w:after="140"/>
      <w:ind w:left="360" w:right="360"/>
    </w:pPr>
    <w:rPr>
      <w:rFonts w:ascii="Aptos" w:hAnsi="Aptos"/>
      <w:i/>
      <w:color w:val="21334A"/>
      <w:sz w:val="21"/>
    </w:rPr>
  </w:style>
  <w:style w:type="paragraph" w:customStyle="1" w:styleId="VerbatimBody">
    <w:name w:val="Verbatim Body"/>
    <w:pPr>
      <w:spacing w:after="120" w:line="259" w:lineRule="auto"/>
    </w:pPr>
    <w:rPr>
      <w:rFonts w:ascii="Aptos" w:hAnsi="Aptos"/>
      <w:color w:val="1E2125"/>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Help and Safety Presentation</dc:title>
  <dc:subject>AI-assisted professional-help presentation for the Romeo-Pinky relationship conflict</dc:subject>
  <dc:creator>Romeo Imbien Mesina, with AI-assisted document organization</dc:creator>
  <cp:keywords/>
  <dc:description>Private relationship and safety documentation. Not a certified forensic transcript or professional diagnosis.</dc:description>
  <cp:lastModifiedBy/>
  <cp:revision>1</cp:revision>
  <dcterms:created xsi:type="dcterms:W3CDTF">2013-12-23T23:15:00Z</dcterms:created>
  <dcterms:modified xsi:type="dcterms:W3CDTF">2013-12-23T23:15:00Z</dcterms:modified>
  <cp:category/>
</cp:coreProperties>
</file>